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40"/>
        <w:rPr>
          <w:rFonts w:eastAsia="Times New Roman" w:cs="Times New Roman"/>
        </w:rPr>
      </w:pPr>
      <w:r>
        <w:rPr>
          <w:rFonts w:eastAsia="Times New Roman" w:cs="Times New Roman"/>
        </w:rPr>
        <w:t xml:space="preserve">Ogłoszenie nr 562570-N-2018 z dnia 2018-05-23 r. </w:t>
      </w:r>
    </w:p>
    <w:p>
      <w:pPr>
        <w:pStyle w:val="Normal"/>
        <w:jc w:val="center"/>
        <w:rPr>
          <w:rFonts w:eastAsia="Times New Roman" w:cs="Times New Roman"/>
        </w:rPr>
      </w:pPr>
      <w:r>
        <w:rPr>
          <w:rFonts w:eastAsia="Times New Roman" w:cs="Times New Roman"/>
        </w:rPr>
        <w:t>Miejska Biblioteka Publiczna im. W. Kętrzyńskiego: Wykonanie robót budowlanych na zadaniu pn.„Remont klatki schodowej w siedzibie głównej Miejskiej Biblioteki Publicznej w Kętrzynie"</w:t>
        <w:br/>
        <w:t xml:space="preserve">OGŁOSZENIE O ZAMÓWIENIU - Roboty budowlane </w:t>
      </w:r>
    </w:p>
    <w:p>
      <w:pPr>
        <w:pStyle w:val="Normal"/>
        <w:rPr>
          <w:rFonts w:eastAsia="Times New Roman" w:cs="Times New Roman"/>
        </w:rPr>
      </w:pPr>
      <w:r>
        <w:rPr>
          <w:rFonts w:eastAsia="Times New Roman" w:cs="Times New Roman"/>
          <w:b/>
          <w:bCs/>
        </w:rPr>
        <w:t>Zamieszczanie ogłoszenia:</w:t>
      </w:r>
      <w:r>
        <w:rPr>
          <w:rFonts w:eastAsia="Times New Roman" w:cs="Times New Roman"/>
        </w:rPr>
        <w:t xml:space="preserve"> Zamieszczanie obowiązkowe </w:t>
      </w:r>
    </w:p>
    <w:p>
      <w:pPr>
        <w:pStyle w:val="Normal"/>
        <w:rPr>
          <w:rFonts w:eastAsia="Times New Roman" w:cs="Times New Roman"/>
        </w:rPr>
      </w:pPr>
      <w:r>
        <w:rPr>
          <w:rFonts w:eastAsia="Times New Roman" w:cs="Times New Roman"/>
          <w:b/>
          <w:bCs/>
        </w:rPr>
        <w:t>Ogłoszenie dotyczy:</w:t>
      </w:r>
      <w:r>
        <w:rPr>
          <w:rFonts w:eastAsia="Times New Roman" w:cs="Times New Roman"/>
        </w:rPr>
        <w:t xml:space="preserve"> Zamówienia publicznego </w:t>
      </w:r>
    </w:p>
    <w:p>
      <w:pPr>
        <w:pStyle w:val="Normal"/>
        <w:rPr>
          <w:rFonts w:eastAsia="Times New Roman" w:cs="Times New Roman"/>
        </w:rPr>
      </w:pPr>
      <w:r>
        <w:rPr>
          <w:rFonts w:eastAsia="Times New Roman" w:cs="Times New Roman"/>
          <w:b/>
          <w:bCs/>
        </w:rPr>
        <w:t xml:space="preserve">Zamówienie dotyczy projektu lub programu współfinansowanego ze środków Unii </w:t>
      </w:r>
      <w:bookmarkStart w:id="0" w:name="_GoBack"/>
      <w:bookmarkEnd w:id="0"/>
      <w:r>
        <w:rPr>
          <w:rFonts w:eastAsia="Times New Roman" w:cs="Times New Roman"/>
          <w:b/>
          <w:bCs/>
        </w:rPr>
        <w:t xml:space="preserve">Europejskiej </w:t>
      </w:r>
    </w:p>
    <w:p>
      <w:pPr>
        <w:pStyle w:val="Normal"/>
        <w:rPr>
          <w:rFonts w:eastAsia="Times New Roman" w:cs="Times New Roman"/>
        </w:rPr>
      </w:pPr>
      <w:r>
        <w:rPr>
          <w:rFonts w:eastAsia="Times New Roman" w:cs="Times New Roman"/>
        </w:rPr>
        <w:t xml:space="preserve">Nie </w:t>
      </w:r>
    </w:p>
    <w:p>
      <w:pPr>
        <w:pStyle w:val="Normal"/>
        <w:rPr>
          <w:rFonts w:eastAsia="Times New Roman" w:cs="Times New Roman"/>
        </w:rPr>
      </w:pPr>
      <w:r>
        <w:rPr>
          <w:rFonts w:eastAsia="Times New Roman" w:cs="Times New Roman"/>
        </w:rPr>
        <w:br/>
      </w:r>
      <w:r>
        <w:rPr>
          <w:rFonts w:eastAsia="Times New Roman" w:cs="Times New Roman"/>
          <w:b/>
          <w:bCs/>
        </w:rPr>
        <w:t>Nazwa projektu lub programu</w:t>
      </w:r>
      <w:r>
        <w:rPr>
          <w:rFonts w:eastAsia="Times New Roman" w:cs="Times New Roman"/>
        </w:rPr>
        <w:t xml:space="preserve"> </w:t>
        <w:br/>
      </w:r>
    </w:p>
    <w:p>
      <w:pPr>
        <w:pStyle w:val="Normal"/>
        <w:rPr>
          <w:rFonts w:eastAsia="Times New Roman" w:cs="Times New Roman"/>
        </w:rPr>
      </w:pPr>
      <w:r>
        <w:rPr>
          <w:rFonts w:eastAsia="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pPr>
        <w:pStyle w:val="Normal"/>
        <w:rPr>
          <w:rFonts w:eastAsia="Times New Roman" w:cs="Times New Roman"/>
        </w:rPr>
      </w:pPr>
      <w:r>
        <w:rPr>
          <w:rFonts w:eastAsia="Times New Roman" w:cs="Times New Roman"/>
        </w:rPr>
        <w:t xml:space="preserve">Nie </w:t>
      </w:r>
    </w:p>
    <w:p>
      <w:pPr>
        <w:pStyle w:val="Normal"/>
        <w:rPr>
          <w:rFonts w:eastAsia="Times New Roman" w:cs="Times New Roman"/>
        </w:rPr>
      </w:pPr>
      <w:r>
        <w:rPr>
          <w:rFonts w:eastAsia="Times New Roman" w:cs="Times New Roman"/>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br/>
      </w:r>
    </w:p>
    <w:p>
      <w:pPr>
        <w:pStyle w:val="Normal"/>
        <w:rPr>
          <w:rFonts w:eastAsia="Times New Roman" w:cs="Times New Roman"/>
        </w:rPr>
      </w:pPr>
      <w:r>
        <w:rPr>
          <w:rFonts w:eastAsia="Times New Roman" w:cs="Times New Roman"/>
          <w:u w:val="single"/>
        </w:rPr>
        <w:t>SEKCJA I: ZAMAWIAJĄCY</w:t>
      </w:r>
      <w:r>
        <w:rPr>
          <w:rFonts w:eastAsia="Times New Roman" w:cs="Times New Roman"/>
        </w:rPr>
        <w:t xml:space="preserve"> </w:t>
      </w:r>
    </w:p>
    <w:p>
      <w:pPr>
        <w:pStyle w:val="Normal"/>
        <w:rPr>
          <w:rFonts w:eastAsia="Times New Roman" w:cs="Times New Roman"/>
        </w:rPr>
      </w:pPr>
      <w:r>
        <w:rPr>
          <w:rFonts w:eastAsia="Times New Roman" w:cs="Times New Roman"/>
          <w:b/>
          <w:bCs/>
        </w:rPr>
        <w:t xml:space="preserve">Postępowanie przeprowadza centralny zamawiający </w:t>
      </w:r>
    </w:p>
    <w:p>
      <w:pPr>
        <w:pStyle w:val="Normal"/>
        <w:rPr>
          <w:rFonts w:eastAsia="Times New Roman" w:cs="Times New Roman"/>
        </w:rPr>
      </w:pPr>
      <w:r>
        <w:rPr>
          <w:rFonts w:eastAsia="Times New Roman" w:cs="Times New Roman"/>
        </w:rPr>
        <w:t xml:space="preserve">Nie </w:t>
      </w:r>
    </w:p>
    <w:p>
      <w:pPr>
        <w:pStyle w:val="Normal"/>
        <w:rPr>
          <w:rFonts w:eastAsia="Times New Roman" w:cs="Times New Roman"/>
        </w:rPr>
      </w:pPr>
      <w:r>
        <w:rPr>
          <w:rFonts w:eastAsia="Times New Roman" w:cs="Times New Roman"/>
          <w:b/>
          <w:bCs/>
        </w:rPr>
        <w:t xml:space="preserve">Postępowanie przeprowadza podmiot, któremu zamawiający powierzył/powierzyli przeprowadzenie postępowania </w:t>
      </w:r>
    </w:p>
    <w:p>
      <w:pPr>
        <w:pStyle w:val="Normal"/>
        <w:rPr>
          <w:rFonts w:eastAsia="Times New Roman" w:cs="Times New Roman"/>
        </w:rPr>
      </w:pPr>
      <w:r>
        <w:rPr>
          <w:rFonts w:eastAsia="Times New Roman" w:cs="Times New Roman"/>
        </w:rPr>
        <w:t xml:space="preserve">Nie </w:t>
      </w:r>
    </w:p>
    <w:p>
      <w:pPr>
        <w:pStyle w:val="Normal"/>
        <w:rPr>
          <w:rFonts w:eastAsia="Times New Roman" w:cs="Times New Roman"/>
        </w:rPr>
      </w:pPr>
      <w:r>
        <w:rPr>
          <w:rFonts w:eastAsia="Times New Roman" w:cs="Times New Roman"/>
          <w:b/>
          <w:bCs/>
        </w:rPr>
        <w:t>Informacje na temat podmiotu któremu zamawiający powierzył/powierzyli prowadzenie postępowania:</w:t>
      </w:r>
      <w:r>
        <w:rPr>
          <w:rFonts w:eastAsia="Times New Roman" w:cs="Times New Roman"/>
        </w:rPr>
        <w:t xml:space="preserve"> </w:t>
        <w:br/>
      </w:r>
      <w:r>
        <w:rPr>
          <w:rFonts w:eastAsia="Times New Roman" w:cs="Times New Roman"/>
          <w:b/>
          <w:bCs/>
        </w:rPr>
        <w:t>Postępowanie jest przeprowadzane wspólnie przez zamawiających</w:t>
      </w:r>
      <w:r>
        <w:rPr>
          <w:rFonts w:eastAsia="Times New Roman" w:cs="Times New Roman"/>
        </w:rPr>
        <w:t xml:space="preserve"> </w:t>
      </w:r>
    </w:p>
    <w:p>
      <w:pPr>
        <w:pStyle w:val="Normal"/>
        <w:rPr>
          <w:rFonts w:eastAsia="Times New Roman" w:cs="Times New Roman"/>
        </w:rPr>
      </w:pPr>
      <w:r>
        <w:rPr>
          <w:rFonts w:eastAsia="Times New Roman" w:cs="Times New Roman"/>
        </w:rPr>
        <w:t xml:space="preserve">Nie </w:t>
      </w:r>
    </w:p>
    <w:p>
      <w:pPr>
        <w:pStyle w:val="Normal"/>
        <w:rPr>
          <w:rFonts w:eastAsia="Times New Roman" w:cs="Times New Roman"/>
        </w:rPr>
      </w:pPr>
      <w:r>
        <w:rPr>
          <w:rFonts w:eastAsia="Times New Roman" w:cs="Times New Roman"/>
        </w:rPr>
        <w:br/>
        <w:t xml:space="preserve">Jeżeli tak, należy wymienić zamawiających, którzy wspólnie przeprowadzają postępowanie oraz podać adresy ich siedzib, krajowe numery identyfikacyjne oraz osoby do kontaktów wraz z danymi do kontaktów: </w:t>
        <w:br/>
        <w:br/>
      </w:r>
      <w:r>
        <w:rPr>
          <w:rFonts w:eastAsia="Times New Roman" w:cs="Times New Roman"/>
          <w:b/>
          <w:bCs/>
        </w:rPr>
        <w:t xml:space="preserve">Postępowanie jest przeprowadzane wspólnie z zamawiającymi z innych państw członkowskich Unii Europejskiej </w:t>
      </w:r>
    </w:p>
    <w:p>
      <w:pPr>
        <w:pStyle w:val="Normal"/>
        <w:rPr>
          <w:rFonts w:eastAsia="Times New Roman" w:cs="Times New Roman"/>
        </w:rPr>
      </w:pPr>
      <w:r>
        <w:rPr>
          <w:rFonts w:eastAsia="Times New Roman" w:cs="Times New Roman"/>
        </w:rPr>
        <w:t xml:space="preserve">Nie </w:t>
      </w:r>
    </w:p>
    <w:p>
      <w:pPr>
        <w:pStyle w:val="Normal"/>
        <w:rPr>
          <w:rFonts w:eastAsia="Times New Roman" w:cs="Times New Roman"/>
        </w:rPr>
      </w:pPr>
      <w:r>
        <w:rPr>
          <w:rFonts w:eastAsia="Times New Roman" w:cs="Times New Roman"/>
          <w:b/>
          <w:bCs/>
        </w:rPr>
        <w:t>W przypadku przeprowadzania postępowania wspólnie z zamawiającymi z innych państw członkowskich Unii Europejskiej – mające zastosowanie krajowe prawo zamówień publicznych:</w:t>
      </w:r>
      <w:r>
        <w:rPr>
          <w:rFonts w:eastAsia="Times New Roman" w:cs="Times New Roman"/>
        </w:rPr>
        <w:t xml:space="preserve"> </w:t>
        <w:br/>
      </w:r>
      <w:r>
        <w:rPr>
          <w:rFonts w:eastAsia="Times New Roman" w:cs="Times New Roman"/>
          <w:b/>
          <w:bCs/>
        </w:rPr>
        <w:t>Informacje dodatkowe:</w:t>
      </w:r>
      <w:r>
        <w:rPr>
          <w:rFonts w:eastAsia="Times New Roman" w:cs="Times New Roman"/>
        </w:rPr>
        <w:t xml:space="preserve"> </w:t>
      </w:r>
    </w:p>
    <w:p>
      <w:pPr>
        <w:pStyle w:val="Normal"/>
        <w:rPr>
          <w:rFonts w:eastAsia="Times New Roman" w:cs="Times New Roman"/>
        </w:rPr>
      </w:pPr>
      <w:r>
        <w:rPr>
          <w:rFonts w:eastAsia="Times New Roman" w:cs="Times New Roman"/>
          <w:b/>
          <w:bCs/>
        </w:rPr>
        <w:t xml:space="preserve">I. 1) NAZWA I ADRES: </w:t>
      </w:r>
      <w:r>
        <w:rPr>
          <w:rFonts w:eastAsia="Times New Roman" w:cs="Times New Roman"/>
        </w:rPr>
        <w:t xml:space="preserve">Miejska Biblioteka Publiczna im. W. Kętrzyńskiego, krajowy numer identyfikacyjny 132379700000, ul. plac Zamkowy  1 , 11400   Kętrzyn, woj. warmińsko-mazurskie, państwo Polska, tel. 89 752 32 30, e-mail witold.gagacki@biblioteka.ketrzyn.pl, faks 89 752 32 30. </w:t>
        <w:br/>
        <w:t xml:space="preserve">Adres strony internetowej (URL): www.biblioteka.ketrzyn.pl </w:t>
        <w:br/>
        <w:t xml:space="preserve">Adres profilu nabywcy: </w:t>
        <w:br/>
        <w:t xml:space="preserve">Adres strony internetowej pod którym można uzyskać dostęp do narzędzi i urządzeń lub formatów plików, które nie są ogólnie dostępne </w:t>
      </w:r>
    </w:p>
    <w:p>
      <w:pPr>
        <w:pStyle w:val="Normal"/>
        <w:rPr>
          <w:rFonts w:eastAsia="Times New Roman" w:cs="Times New Roman"/>
        </w:rPr>
      </w:pPr>
      <w:r>
        <w:rPr>
          <w:rFonts w:eastAsia="Times New Roman" w:cs="Times New Roman"/>
          <w:b/>
          <w:bCs/>
        </w:rPr>
        <w:t xml:space="preserve">I. 2) RODZAJ ZAMAWIAJĄCEGO: </w:t>
      </w:r>
      <w:r>
        <w:rPr>
          <w:rFonts w:eastAsia="Times New Roman" w:cs="Times New Roman"/>
        </w:rPr>
        <w:t xml:space="preserve">Inny (proszę określić): </w:t>
        <w:br/>
        <w:t xml:space="preserve">samorządowa instytucja kultury </w:t>
      </w:r>
    </w:p>
    <w:p>
      <w:pPr>
        <w:pStyle w:val="Normal"/>
        <w:rPr>
          <w:rFonts w:eastAsia="Times New Roman" w:cs="Times New Roman"/>
        </w:rPr>
      </w:pPr>
      <w:r>
        <w:rPr>
          <w:rFonts w:eastAsia="Times New Roman" w:cs="Times New Roman"/>
          <w:b/>
          <w:bCs/>
        </w:rPr>
        <w:t xml:space="preserve">I.3) WSPÓLNE UDZIELANIE ZAMÓWIENIA </w:t>
      </w:r>
      <w:r>
        <w:rPr>
          <w:rFonts w:eastAsia="Times New Roman" w:cs="Times New Roman"/>
          <w:b/>
          <w:bCs/>
          <w:i/>
          <w:iCs/>
        </w:rPr>
        <w:t>(jeżeli dotyczy)</w:t>
      </w:r>
      <w:r>
        <w:rPr>
          <w:rFonts w:eastAsia="Times New Roman" w:cs="Times New Roman"/>
          <w:b/>
          <w:bCs/>
        </w:rPr>
        <w:t xml:space="preserve">: </w:t>
      </w:r>
    </w:p>
    <w:p>
      <w:pPr>
        <w:pStyle w:val="Normal"/>
        <w:rPr>
          <w:rFonts w:eastAsia="Times New Roman" w:cs="Times New Roman"/>
        </w:rPr>
      </w:pPr>
      <w:r>
        <w:rPr>
          <w:rFonts w:eastAsia="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br/>
      </w:r>
    </w:p>
    <w:p>
      <w:pPr>
        <w:pStyle w:val="Normal"/>
        <w:rPr>
          <w:rFonts w:eastAsia="Times New Roman" w:cs="Times New Roman"/>
        </w:rPr>
      </w:pPr>
      <w:r>
        <w:rPr>
          <w:rFonts w:eastAsia="Times New Roman" w:cs="Times New Roman"/>
          <w:b/>
          <w:bCs/>
        </w:rPr>
        <w:t xml:space="preserve">I.4) KOMUNIKACJA: </w:t>
      </w:r>
      <w:r>
        <w:rPr>
          <w:rFonts w:eastAsia="Times New Roman" w:cs="Times New Roman"/>
        </w:rPr>
        <w:br/>
      </w:r>
      <w:r>
        <w:rPr>
          <w:rFonts w:eastAsia="Times New Roman" w:cs="Times New Roman"/>
          <w:b/>
          <w:bCs/>
        </w:rPr>
        <w:t>Nieograniczony, pełny i bezpośredni dostęp do dokumentów z postępowania można uzyskać pod adresem (URL)</w:t>
      </w:r>
      <w:r>
        <w:rPr>
          <w:rFonts w:eastAsia="Times New Roman" w:cs="Times New Roman"/>
        </w:rPr>
        <w:t xml:space="preserve"> </w:t>
      </w:r>
    </w:p>
    <w:p>
      <w:pPr>
        <w:pStyle w:val="Normal"/>
        <w:rPr>
          <w:rFonts w:eastAsia="Times New Roman" w:cs="Times New Roman"/>
        </w:rPr>
      </w:pPr>
      <w:r>
        <w:rPr>
          <w:rFonts w:eastAsia="Times New Roman" w:cs="Times New Roman"/>
        </w:rPr>
        <w:t xml:space="preserve">Tak </w:t>
        <w:br/>
        <w:t xml:space="preserve">www.biblioteka.ketrzyn.pl </w:t>
      </w:r>
    </w:p>
    <w:p>
      <w:pPr>
        <w:pStyle w:val="Normal"/>
        <w:rPr>
          <w:rFonts w:eastAsia="Times New Roman" w:cs="Times New Roman"/>
        </w:rPr>
      </w:pPr>
      <w:r>
        <w:rPr>
          <w:rFonts w:eastAsia="Times New Roman" w:cs="Times New Roman"/>
        </w:rPr>
        <w:br/>
      </w:r>
      <w:r>
        <w:rPr>
          <w:rFonts w:eastAsia="Times New Roman" w:cs="Times New Roman"/>
          <w:b/>
          <w:bCs/>
        </w:rPr>
        <w:t xml:space="preserve">Adres strony internetowej, na której zamieszczona będzie specyfikacja istotnych warunków zamówienia </w:t>
      </w:r>
    </w:p>
    <w:p>
      <w:pPr>
        <w:pStyle w:val="Normal"/>
        <w:rPr>
          <w:rFonts w:eastAsia="Times New Roman" w:cs="Times New Roman"/>
        </w:rPr>
      </w:pPr>
      <w:r>
        <w:rPr>
          <w:rFonts w:eastAsia="Times New Roman" w:cs="Times New Roman"/>
        </w:rPr>
        <w:t xml:space="preserve">Tak </w:t>
        <w:br/>
        <w:t xml:space="preserve">www.biblioteka.ketrzyn.pl </w:t>
      </w:r>
    </w:p>
    <w:p>
      <w:pPr>
        <w:pStyle w:val="Normal"/>
        <w:rPr>
          <w:rFonts w:eastAsia="Times New Roman" w:cs="Times New Roman"/>
        </w:rPr>
      </w:pPr>
      <w:r>
        <w:rPr>
          <w:rFonts w:eastAsia="Times New Roman" w:cs="Times New Roman"/>
        </w:rPr>
        <w:br/>
      </w:r>
      <w:r>
        <w:rPr>
          <w:rFonts w:eastAsia="Times New Roman" w:cs="Times New Roman"/>
          <w:b/>
          <w:bCs/>
        </w:rPr>
        <w:t xml:space="preserve">Dostęp do dokumentów z postępowania jest ograniczony - więcej informacji można uzyskać pod adresem </w:t>
      </w:r>
    </w:p>
    <w:p>
      <w:pPr>
        <w:pStyle w:val="Normal"/>
        <w:rPr>
          <w:rFonts w:eastAsia="Times New Roman" w:cs="Times New Roman"/>
        </w:rPr>
      </w:pPr>
      <w:r>
        <w:rPr>
          <w:rFonts w:eastAsia="Times New Roman" w:cs="Times New Roman"/>
        </w:rPr>
        <w:t xml:space="preserve">Nie </w:t>
        <w:br/>
      </w:r>
    </w:p>
    <w:p>
      <w:pPr>
        <w:pStyle w:val="Normal"/>
        <w:rPr>
          <w:rFonts w:eastAsia="Times New Roman" w:cs="Times New Roman"/>
        </w:rPr>
      </w:pPr>
      <w:r>
        <w:rPr>
          <w:rFonts w:eastAsia="Times New Roman" w:cs="Times New Roman"/>
        </w:rPr>
        <w:br/>
      </w:r>
      <w:r>
        <w:rPr>
          <w:rFonts w:eastAsia="Times New Roman" w:cs="Times New Roman"/>
          <w:b/>
          <w:bCs/>
        </w:rPr>
        <w:t>Oferty lub wnioski o dopuszczenie do udziału w postępowaniu należy przesyłać:</w:t>
      </w:r>
      <w:r>
        <w:rPr>
          <w:rFonts w:eastAsia="Times New Roman" w:cs="Times New Roman"/>
        </w:rPr>
        <w:t xml:space="preserve"> </w:t>
        <w:br/>
      </w:r>
      <w:r>
        <w:rPr>
          <w:rFonts w:eastAsia="Times New Roman" w:cs="Times New Roman"/>
          <w:b/>
          <w:bCs/>
        </w:rPr>
        <w:t>Elektronicznie</w:t>
      </w:r>
      <w:r>
        <w:rPr>
          <w:rFonts w:eastAsia="Times New Roman" w:cs="Times New Roman"/>
        </w:rPr>
        <w:t xml:space="preserve"> </w:t>
      </w:r>
    </w:p>
    <w:p>
      <w:pPr>
        <w:pStyle w:val="Normal"/>
        <w:rPr>
          <w:rFonts w:eastAsia="Times New Roman" w:cs="Times New Roman"/>
        </w:rPr>
      </w:pPr>
      <w:r>
        <w:rPr>
          <w:rFonts w:eastAsia="Times New Roman" w:cs="Times New Roman"/>
        </w:rPr>
        <w:t xml:space="preserve">Nie </w:t>
        <w:br/>
        <w:t xml:space="preserve">adres </w:t>
        <w:br/>
      </w:r>
    </w:p>
    <w:p>
      <w:pPr>
        <w:pStyle w:val="Normal"/>
        <w:rPr>
          <w:rFonts w:eastAsia="Times New Roman" w:cs="Times New Roman"/>
        </w:rPr>
      </w:pPr>
      <w:r>
        <w:rPr>
          <w:rFonts w:eastAsia="Times New Roman" w:cs="Times New Roman"/>
        </w:rPr>
      </w:r>
    </w:p>
    <w:p>
      <w:pPr>
        <w:pStyle w:val="Normal"/>
        <w:rPr>
          <w:rFonts w:eastAsia="Times New Roman" w:cs="Times New Roman"/>
        </w:rPr>
      </w:pPr>
      <w:r>
        <w:rPr>
          <w:rFonts w:eastAsia="Times New Roman" w:cs="Times New Roman"/>
          <w:b/>
          <w:bCs/>
        </w:rPr>
        <w:t>Dopuszczone jest przesłanie ofert lub wniosków o dopuszczenie do udziału w postępowaniu w inny sposób:</w:t>
      </w:r>
      <w:r>
        <w:rPr>
          <w:rFonts w:eastAsia="Times New Roman" w:cs="Times New Roman"/>
        </w:rPr>
        <w:t xml:space="preserve"> </w:t>
        <w:br/>
        <w:t xml:space="preserve">Nie </w:t>
        <w:br/>
        <w:t xml:space="preserve">Inny sposób: </w:t>
        <w:br/>
        <w:br/>
      </w:r>
      <w:r>
        <w:rPr>
          <w:rFonts w:eastAsia="Times New Roman" w:cs="Times New Roman"/>
          <w:b/>
          <w:bCs/>
        </w:rPr>
        <w:t>Wymagane jest przesłanie ofert lub wniosków o dopuszczenie do udziału w postępowaniu w inny sposób:</w:t>
      </w:r>
      <w:r>
        <w:rPr>
          <w:rFonts w:eastAsia="Times New Roman" w:cs="Times New Roman"/>
        </w:rPr>
        <w:t xml:space="preserve"> </w:t>
        <w:br/>
        <w:t xml:space="preserve">Tak </w:t>
        <w:br/>
        <w:t xml:space="preserve">Inny sposób: </w:t>
        <w:br/>
        <w:t xml:space="preserve">Obowiązkowa forma pisemna. Nieprzejrzystą kopertę (opakowanie) zawierającą ofertę wraz z wymaganymi dokumentami należy złożyć w siedzibie Zamawiającego, w wyznaczonym terminie lub przesłać pocztą (liczy się data wpływu do siedziby Zamawiającego) na adres jn. </w:t>
        <w:br/>
        <w:t xml:space="preserve">Adres: </w:t>
        <w:br/>
        <w:t xml:space="preserve">Miejska Biblioteka Publiczna im. Wojciecha Kętrzyńskiego w Kętrzynie Plac zamkowy 1 11-400 Kętrzyn </w:t>
      </w:r>
    </w:p>
    <w:p>
      <w:pPr>
        <w:pStyle w:val="Normal"/>
        <w:rPr>
          <w:rFonts w:eastAsia="Times New Roman" w:cs="Times New Roman"/>
        </w:rPr>
      </w:pPr>
      <w:r>
        <w:rPr>
          <w:rFonts w:eastAsia="Times New Roman" w:cs="Times New Roman"/>
        </w:rPr>
        <w:br/>
      </w:r>
      <w:r>
        <w:rPr>
          <w:rFonts w:eastAsia="Times New Roman" w:cs="Times New Roman"/>
          <w:b/>
          <w:bCs/>
        </w:rPr>
        <w:t>Komunikacja elektroniczna wymaga korzystania z narzędzi i urządzeń lub formatów plików, które nie są ogólnie dostępne</w:t>
      </w:r>
      <w:r>
        <w:rPr>
          <w:rFonts w:eastAsia="Times New Roman" w:cs="Times New Roman"/>
        </w:rPr>
        <w:t xml:space="preserve"> </w:t>
      </w:r>
    </w:p>
    <w:p>
      <w:pPr>
        <w:pStyle w:val="Normal"/>
        <w:rPr>
          <w:rFonts w:eastAsia="Times New Roman" w:cs="Times New Roman"/>
        </w:rPr>
      </w:pPr>
      <w:r>
        <w:rPr>
          <w:rFonts w:eastAsia="Times New Roman" w:cs="Times New Roman"/>
        </w:rPr>
        <w:t xml:space="preserve">Nie </w:t>
        <w:br/>
        <w:t xml:space="preserve">Nieograniczony, pełny, bezpośredni i bezpłatny dostęp do tych narzędzi można uzyskać pod adresem: (URL) </w:t>
        <w:br/>
      </w:r>
    </w:p>
    <w:p>
      <w:pPr>
        <w:pStyle w:val="Normal"/>
        <w:rPr>
          <w:rFonts w:eastAsia="Times New Roman" w:cs="Times New Roman"/>
        </w:rPr>
      </w:pPr>
      <w:r>
        <w:rPr>
          <w:rFonts w:eastAsia="Times New Roman" w:cs="Times New Roman"/>
          <w:u w:val="single"/>
        </w:rPr>
        <w:t xml:space="preserve">SEKCJA II: PRZEDMIOT ZAMÓWIENIA </w:t>
      </w:r>
    </w:p>
    <w:p>
      <w:pPr>
        <w:pStyle w:val="Normal"/>
        <w:rPr>
          <w:rFonts w:eastAsia="Times New Roman" w:cs="Times New Roman"/>
        </w:rPr>
      </w:pPr>
      <w:r>
        <w:rPr>
          <w:rFonts w:eastAsia="Times New Roman" w:cs="Times New Roman"/>
        </w:rPr>
        <w:br/>
      </w:r>
      <w:r>
        <w:rPr>
          <w:rFonts w:eastAsia="Times New Roman" w:cs="Times New Roman"/>
          <w:b/>
          <w:bCs/>
        </w:rPr>
        <w:t xml:space="preserve">II.1) Nazwa nadana zamówieniu przez zamawiającego: </w:t>
      </w:r>
      <w:r>
        <w:rPr>
          <w:rFonts w:eastAsia="Times New Roman" w:cs="Times New Roman"/>
        </w:rPr>
        <w:t xml:space="preserve">Wykonanie robót budowlanych na zadaniu pn.„Remont klatki schodowej w siedzibie głównej Miejskiej Biblioteki Publicznej w Ketrzynie" </w:t>
        <w:br/>
      </w:r>
      <w:r>
        <w:rPr>
          <w:rFonts w:eastAsia="Times New Roman" w:cs="Times New Roman"/>
          <w:b/>
          <w:bCs/>
        </w:rPr>
        <w:t xml:space="preserve">Numer referencyjny: </w:t>
      </w:r>
      <w:r>
        <w:rPr>
          <w:rFonts w:eastAsia="Times New Roman" w:cs="Times New Roman"/>
        </w:rPr>
        <w:t xml:space="preserve">AG.22/2/18 </w:t>
        <w:br/>
      </w:r>
      <w:r>
        <w:rPr>
          <w:rFonts w:eastAsia="Times New Roman" w:cs="Times New Roman"/>
          <w:b/>
          <w:bCs/>
        </w:rPr>
        <w:t xml:space="preserve">Przed wszczęciem postępowania o udzielenie zamówienia przeprowadzono dialog techniczny </w:t>
      </w:r>
    </w:p>
    <w:p>
      <w:pPr>
        <w:pStyle w:val="Normal"/>
        <w:jc w:val="both"/>
        <w:rPr>
          <w:rFonts w:eastAsia="Times New Roman" w:cs="Times New Roman"/>
        </w:rPr>
      </w:pPr>
      <w:r>
        <w:rPr>
          <w:rFonts w:eastAsia="Times New Roman" w:cs="Times New Roman"/>
        </w:rPr>
        <w:t xml:space="preserve">Nie </w:t>
      </w:r>
    </w:p>
    <w:p>
      <w:pPr>
        <w:pStyle w:val="Normal"/>
        <w:rPr>
          <w:rFonts w:eastAsia="Times New Roman" w:cs="Times New Roman"/>
        </w:rPr>
      </w:pPr>
      <w:r>
        <w:rPr>
          <w:rFonts w:eastAsia="Times New Roman" w:cs="Times New Roman"/>
        </w:rPr>
        <w:br/>
      </w:r>
      <w:r>
        <w:rPr>
          <w:rFonts w:eastAsia="Times New Roman" w:cs="Times New Roman"/>
          <w:b/>
          <w:bCs/>
        </w:rPr>
        <w:t xml:space="preserve">II.2) Rodzaj zamówienia: </w:t>
      </w:r>
      <w:r>
        <w:rPr>
          <w:rFonts w:eastAsia="Times New Roman" w:cs="Times New Roman"/>
        </w:rPr>
        <w:t xml:space="preserve">Roboty budowlane </w:t>
        <w:br/>
      </w:r>
      <w:r>
        <w:rPr>
          <w:rFonts w:eastAsia="Times New Roman" w:cs="Times New Roman"/>
          <w:b/>
          <w:bCs/>
        </w:rPr>
        <w:t>II.3) Informacja o możliwości składania ofert częściowych</w:t>
      </w:r>
      <w:r>
        <w:rPr>
          <w:rFonts w:eastAsia="Times New Roman" w:cs="Times New Roman"/>
        </w:rPr>
        <w:t xml:space="preserve"> </w:t>
        <w:br/>
        <w:t xml:space="preserve">Zamówienie podzielone jest na części: </w:t>
      </w:r>
    </w:p>
    <w:p>
      <w:pPr>
        <w:pStyle w:val="Normal"/>
        <w:rPr>
          <w:rFonts w:eastAsia="Times New Roman" w:cs="Times New Roman"/>
        </w:rPr>
      </w:pPr>
      <w:r>
        <w:rPr>
          <w:rFonts w:eastAsia="Times New Roman" w:cs="Times New Roman"/>
        </w:rPr>
        <w:t xml:space="preserve">Nie </w:t>
        <w:br/>
      </w:r>
      <w:r>
        <w:rPr>
          <w:rFonts w:eastAsia="Times New Roman" w:cs="Times New Roman"/>
          <w:b/>
          <w:bCs/>
        </w:rPr>
        <w:t>Oferty lub wnioski o dopuszczenie do udziału w postępowaniu można składać w odniesieniu do:</w:t>
      </w:r>
      <w:r>
        <w:rPr>
          <w:rFonts w:eastAsia="Times New Roman" w:cs="Times New Roman"/>
        </w:rPr>
        <w:t xml:space="preserve"> </w:t>
        <w:br/>
      </w:r>
    </w:p>
    <w:p>
      <w:pPr>
        <w:pStyle w:val="Normal"/>
        <w:rPr>
          <w:rFonts w:eastAsia="Times New Roman" w:cs="Times New Roman"/>
        </w:rPr>
      </w:pPr>
      <w:r>
        <w:rPr>
          <w:rFonts w:eastAsia="Times New Roman" w:cs="Times New Roman"/>
          <w:b/>
          <w:bCs/>
        </w:rPr>
        <w:t>Zamawiający zastrzega sobie prawo do udzielenia łącznie następujących części lub grup części:</w:t>
      </w:r>
      <w:r>
        <w:rPr>
          <w:rFonts w:eastAsia="Times New Roman" w:cs="Times New Roman"/>
        </w:rPr>
        <w:t xml:space="preserve"> </w:t>
        <w:br/>
        <w:br/>
      </w:r>
      <w:r>
        <w:rPr>
          <w:rFonts w:eastAsia="Times New Roman" w:cs="Times New Roman"/>
          <w:b/>
          <w:bCs/>
        </w:rPr>
        <w:t>Maksymalna liczba części zamówienia, na które może zostać udzielone zamówienie jednemu wykonawcy:</w:t>
      </w:r>
      <w:r>
        <w:rPr>
          <w:rFonts w:eastAsia="Times New Roman" w:cs="Times New Roman"/>
        </w:rPr>
        <w:t xml:space="preserve"> </w:t>
        <w:br/>
        <w:br/>
        <w:br/>
        <w:br/>
      </w:r>
      <w:r>
        <w:rPr>
          <w:rFonts w:eastAsia="Times New Roman" w:cs="Times New Roman"/>
          <w:b/>
          <w:bCs/>
        </w:rPr>
        <w:t xml:space="preserve">II.4) Krótki opis przedmiotu zamówienia </w:t>
      </w:r>
      <w:r>
        <w:rPr>
          <w:rFonts w:eastAsia="Times New Roman" w:cs="Times New Roman"/>
          <w:i/>
          <w:iCs/>
        </w:rPr>
        <w:t>(wielkość, zakres, rodzaj i ilość dostaw, usług lub robót budowlanych lub określenie zapotrzebowania i wymagań )</w:t>
      </w:r>
      <w:r>
        <w:rPr>
          <w:rFonts w:eastAsia="Times New Roman" w:cs="Times New Roman"/>
          <w:b/>
          <w:bCs/>
        </w:rPr>
        <w:t xml:space="preserve"> a w przypadku partnerstwa innowacyjnego - określenie zapotrzebowania na innowacyjny produkt, usługę lub roboty budowlane: </w:t>
      </w:r>
      <w:r>
        <w:rPr>
          <w:rFonts w:eastAsia="Times New Roman" w:cs="Times New Roman"/>
        </w:rPr>
        <w:t xml:space="preserve">1. Przedmiotem zamówienia jest wykonanie robót budowlanych na zadaniu pn.„Remont klatki schodowej w siedzibie głównej Miejskiej Biblioteki Publicznej w Ketrzynie" obejmujących wykonanie posadzek sieni wejściowej i klatki schodowej w południowym skrzydle zamku. Zamek w Kętrzynie wpisany jest do rejestru zabytków województwa warmińsko-mazurskiego decyzją z dnia 11 marca 1953 r. nr 38 (K/5). Odstępstwa projektowe i materiałowe od zatwierdzonego projektu wymagają pozwolenia Wojewódzkiego Konserwatora Zabytków. 2. Zakres prac remontowych obejmuje: 1. Rozebranie zniszczonego i spękanego podestu przed wejściem do sieni Biblioteki. 2. Rozebranie warstw lastryko na podłożu betonowym, z posadzek oraz stopni schodów, od poziomu parteru do poziomu poddasza. 3. Korekta wejścia do sieni - skucie cementowego stopnia wejściowego w obrębie muru, utrudniającego wejście, obniżonego w stosunku do posadzki parteru, wg rysunku wykonawczego. 4. Rozebranie cokolików z lastryko na ścianach przy posadzkach oraz przy stopniach schodów 5. Usunięcie lamperii olejnych ze ścian oraz osłabionych powłok malarskich ze ścian i sufitów 6. Czyszczenie, gruntowanie i szpachlowanie nierówności ścian i sufitów z wykonaniem gładzi gipsowej. 7. Rozebranie stalowych balustrad na schodach i spocznikach od poziomu parteru do poziomu poddasza. 8. Odbudowa podestu przed wejściem do sieni Biblioteki, wg dotychczasowych wymiarów, z wyłożeniem płytami z kamienia naturalnego, z osadzeniem stalowej kratki wycieraczki. Kamień piaskowiec „Radków” lub piaskowiec „Długopole” do ustalenia konserwatorskiego, w kolorze szaro-beżowym/brązowym. Płyty kamienne grubości min 40 mm. Po wykonaniu kamień należy impregnować. 9. Czyszczenie, gruntowanie oraz wyrównanie podłoży betonowych posadzek i stopni schodów. 10. Wykonanie warstwy posadzkowej z płyt kamienia naturalnego na posadzkach oraz stopniach schodów od poziomu parteru do poziomu poddasza, w kompozycji dwubarwnej wg projektu wykonawczego. Kamień marmur kielecki „Morawica jasny”, oraz marmur „Bolechowice”. Płyty podłogowe oraz stopnice schodów grubości min 30 mm. Po wykonaniu kamień należy impregnować. 11. Obłożenie podstopnic i cokolików stopni oraz cokolików posadzek z płytek kamienia naturalnego, grubość płytek min. 15 mm. Kamień marmur kielecki „Morawica”. Po wykonaniu kamień należy impregnować. 12. Montaż stalowych balustrad biegów schodów oraz balustrad spoczników międzypiętrowych. Wykonanie balustrad kowalskie indywidualne wg założeń w projekcie wykonawczym. Na każdym z przęseł balustrad za wyjątkiem poziomu poddasza gospodarczego powyżej IV kondygnacji, umieszczone stalowe emblematy ozdobne o tematyce herbowej i symbolice bibliotecznej, w wykonaniu metaloplastyki. Wykończenie elementów balustrad w kolorze stalowo-czarnym matowym. Mocowanie balustrad do boku płyty schodów i spoczników na dyble stalowe w płycie żelbetowej, w miejscach niedostępnych uzupełniająco od góry płyty. Montaż drewnianych pochwytów balustrad z drewna dębowego lub drewna jesionowego, wykończonych lakierem bezbarwnym. 13. Montaż wsporników poręczy ściennych na kołki rozporowe mocowane w ścianie. Nominalna wysokość góry pochwytu poręczy 110 cm, nachylenie poręczy oraz wysokość należy dokładnie dopasować do balustrady schodowej. Montaż drewnianych pochwytów poręczy wykonanych z drewna dębowego lub drewna jesionowego, wykończonych lakierem bezbarwnym. 14. Montaż drewnianych elementów wystroju na fragmentach betonowych stropów na kondygnacjach, od poziomu parteru do poziomu III piętra (za wyjątkiem spoczników międzypiętrowych), wg oznaczeń na rysunku. Elementy wystroju wykonane z drewna modrzewiowego, lub alternatywnie z drewna sosnowego o gęstości powyżej 430 kg/m2, z zewnętrznym wykończeniem gładkim, surowe. Mocowane bezpośrednio do betonowego podłoża sufitu na kołki rozporowe. W przypadku zastosowania drewna sosnowego, po zamontowaniu drewno bejcować w odcieniu jasnym, a następnie wykonać zabezpieczenie przeciwpożarowe elementów drewnianych zgodnie z p. 5.2.5, w wykonaniu bezbarwnym matowym. 15. Montaż stalowych elementów osłon instalacyjnych na ścianach, mocowanie na kołki rozporowe. Osłony zabezpieczone antykorozyjnie, malowane na kolor ścian. 16. Wymiana stolarki drzwi wejściowych wraz z ościeżnicą. Stolarka drewniana, dębowa klepkowa, wg wzoru stolarki istniejącej na zamku, dopasowana do wykroju ostrołukowego otworu drzwiowego w murze. Ościeżnica krosnowa osadzona we wrębie muru. Okucia drzwiowe stalowe kute należy przełożyć z drzwi istniejących lub wykonać w formie repliki okuć drzwiowych istniejących na zamku. 17. Wymiana 3 par drzwi wewnętrznych w sieni parteru wraz z ościeżnicami. Stolarka drewniana, dębowa, klepkowa, wg wzoru stolarki istniejącej na zamku (I oraz II piętro klatki schodowej biblioteki). Okucia drzwiowe stalowe kute należy wykonać w formie repliki okuć drzwiowych istniejących na zamku. 18. Roboty malarskie: a) gruntowanie oczyszczonego podłoża ścian, boków płyt schodowych oraz sufitów, b) szpachlowanie ewentualnych rys, pęknięć lub ubytków podłoża, c) wykonanie gładzi gipsowej, d) malowanie farbami ceramicznymi (winylowymi w technologii ceramicznej), zmywalnymi, odpornymi na zarysowania i drobne uszkodzenia użytkowe. Kolor biały na sufitach, spodach oraz bokach biegów schodowych, oraz kolor jasno-beżowy Ral 1015 na ścianach. Przykładowo proponowana np. farba Magnat Ceramic kolor C10, lub farba porównywalna. 19. Wymiana osprzętu oświetleniowego i elektrycznego. Oprawy oświetlenia zapasowe-go/ewakuacyjnego z własnym źródłem zasilania o czasie min. 1 godziny. Forma i rodzaj osprzętu zgodnie z projektem rewitalizacji i konserwacji całego obiektu zamku. 3. Szczegółowy zakres robót określony został w dokumentacji projektowej, specyfikacjach technicznych wykonania i odbioru robót budowlanych i przedmiarach robót (element pomocniczy), która stanowi załącznik nr 4, 5, 6 do niniejszej SIWZ. W skład dokumentacji projektowej, wchodzą: - Projekty budowlane i wykonawcze, - Specyfikacje techniczne wykonywania i odbioru robót budowlanych, -Przedmiar robót (załącznik będący elementem pomocniczym, nie stanowi podstawy przygotowania oferty cenowej,. - Postanowienie nr 422/2018 z dnia 02.05.2018 Warmińsko - Mazurskiego Wojewódzkiego Konserwatora Zabytków. 4. Zamawiający ustala, że obowiązującym rodzajem wynagrodzenia za zamówienie tj. roboty budowlane, będzie wynagrodzenie ryczałtowe. Załączony projekt budowlany i wykonawczy oraz Specyfikacje Techniczne Wykonania i Odbioru Robót Budowlanych stanowią podstawę przygotowania oferty cenowej. Załączone przedmiary robót są jedynie elementem pomocniczym do sporządzenia kalkulacji cenowej. 5. Zamawiający określa następujące wymagania związane z realizacją zamówienia, dotyczące zatrudnienia na podstawie umowy o pracę przez Wykonawcę lub podwykonawcę osób wykonujących czynności opisane w dokumentacji projektowej, których wykonanie polega na wykonaniu pracy w sposób określony w art. 22 § 1 ustawy z dnia 26 czerwca 1974 r. Kodeks pracy (t.j. Dz. U. z 2018 r. poz. 108) tj. osoby wykonujące ręcznie prace fizyczne przy realizacji niniejszego zamówienia i inne niezbędne czynności opisane w dokumentacji projektowej. Powyższy obowiązek dotyczy także podwykonawców. Powyższy obowiązek nie dotyczy kierownika budowy, kierowników robót i geodety. 6. Wymagania, o których mowa w art. 29 ust. 3a ustawy. 1) sposób dokumentowania zatrudnienia osób, o których mowa w art. 29 ust. 3a ustawy: Zamawiający wymaga udokumentowania zatrudnienia w/w osoby poprzez złożenie: 2) oświadczenia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3) uprawnienia zamawiającego w zakresie kontroli spełniania przez wykonawcę wymagań, o których mowa w art. 29 ust. 3a ustawy, oraz sankcji z tytułu niespełnienia tych wymagań. Na każde żądanie Zamawiającego, Wykonawca powinien udokumentować zatrudnienie ww. osób poprzez złożenie, w terminie 3 dni roboczych od wezwania, wymienionych w pkt 1) dokumentów. 4) w przypadku niezgodności stanu faktycznego ze złożonymi dokumentami, Zamawiający zastosuje kary umowne określone we wzorze umowy. W przypadku uzasadnionych wątpliwości co do przestrzegania prawa pracy przez wykonawcę lub podwykonawcę, zamawiający może zwrócić się o przeprowadzenie kontroli przez Państwową Inspekcję Pracy. 7. Wykonawca udzieli Zamawiającemu gwarancji jakości robót budowlanych i rękojmi za wady wykonanych robót w wymiarze co najmniej 5 lat, licząc od dnia ich odbioru, co będzie podlegało ocenie przez Zamawiającego jako jedno z kryteriów oceny ofert, które zostało szczegółowo określone w rozdz. XIII SIWZ. </w:t>
        <w:br/>
        <w:br/>
      </w:r>
      <w:r>
        <w:rPr>
          <w:rFonts w:eastAsia="Times New Roman" w:cs="Times New Roman"/>
          <w:b/>
          <w:bCs/>
        </w:rPr>
        <w:t xml:space="preserve">II.5) Główny kod CPV: </w:t>
      </w:r>
      <w:r>
        <w:rPr>
          <w:rFonts w:eastAsia="Times New Roman" w:cs="Times New Roman"/>
        </w:rPr>
        <w:t xml:space="preserve">45000000-7 </w:t>
        <w:br/>
      </w:r>
      <w:r>
        <w:rPr>
          <w:rFonts w:eastAsia="Times New Roman" w:cs="Times New Roman"/>
          <w:b/>
          <w:bCs/>
        </w:rPr>
        <w:t>Dodatkowe kody CPV:</w:t>
      </w:r>
      <w:r>
        <w:rPr>
          <w:rFonts w:eastAsia="Times New Roman" w:cs="Times New Roman"/>
        </w:rPr>
        <w:t xml:space="preserve"> </w:t>
      </w:r>
    </w:p>
    <w:tbl>
      <w:tblPr>
        <w:tblW w:w="1190"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14" w:type="dxa"/>
          <w:bottom w:w="15" w:type="dxa"/>
          <w:right w:w="15" w:type="dxa"/>
        </w:tblCellMar>
        <w:tblLook w:firstRow="1" w:noVBand="1" w:lastRow="0" w:firstColumn="1" w:lastColumn="0" w:noHBand="0" w:val="04a0"/>
      </w:tblPr>
      <w:tblGrid>
        <w:gridCol w:w="1190"/>
      </w:tblGrid>
      <w:tr>
        <w:trPr/>
        <w:tc>
          <w:tcPr>
            <w:tcW w:w="1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4" w:type="dxa"/>
            </w:tcMar>
            <w:vAlign w:val="center"/>
          </w:tcPr>
          <w:p>
            <w:pPr>
              <w:pStyle w:val="Normal"/>
              <w:rPr>
                <w:rFonts w:eastAsia="Times New Roman" w:cs="Times New Roman"/>
              </w:rPr>
            </w:pPr>
            <w:r>
              <w:rPr>
                <w:rFonts w:eastAsia="Times New Roman" w:cs="Times New Roman"/>
              </w:rPr>
              <w:t>Kod CPV</w:t>
            </w:r>
          </w:p>
        </w:tc>
      </w:tr>
      <w:tr>
        <w:trPr/>
        <w:tc>
          <w:tcPr>
            <w:tcW w:w="1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4" w:type="dxa"/>
            </w:tcMar>
            <w:vAlign w:val="center"/>
          </w:tcPr>
          <w:p>
            <w:pPr>
              <w:pStyle w:val="Normal"/>
              <w:rPr>
                <w:rFonts w:eastAsia="Times New Roman" w:cs="Times New Roman"/>
              </w:rPr>
            </w:pPr>
            <w:r>
              <w:rPr>
                <w:rFonts w:eastAsia="Times New Roman" w:cs="Times New Roman"/>
              </w:rPr>
              <w:t>45212330-8</w:t>
            </w:r>
          </w:p>
        </w:tc>
      </w:tr>
      <w:tr>
        <w:trPr/>
        <w:tc>
          <w:tcPr>
            <w:tcW w:w="1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4" w:type="dxa"/>
            </w:tcMar>
            <w:vAlign w:val="center"/>
          </w:tcPr>
          <w:p>
            <w:pPr>
              <w:pStyle w:val="Normal"/>
              <w:rPr>
                <w:rFonts w:eastAsia="Times New Roman" w:cs="Times New Roman"/>
              </w:rPr>
            </w:pPr>
            <w:r>
              <w:rPr>
                <w:rFonts w:eastAsia="Times New Roman" w:cs="Times New Roman"/>
              </w:rPr>
              <w:t>45453000-7</w:t>
            </w:r>
          </w:p>
        </w:tc>
      </w:tr>
      <w:tr>
        <w:trPr/>
        <w:tc>
          <w:tcPr>
            <w:tcW w:w="1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4" w:type="dxa"/>
            </w:tcMar>
            <w:vAlign w:val="center"/>
          </w:tcPr>
          <w:p>
            <w:pPr>
              <w:pStyle w:val="Normal"/>
              <w:rPr>
                <w:rFonts w:eastAsia="Times New Roman" w:cs="Times New Roman"/>
              </w:rPr>
            </w:pPr>
            <w:r>
              <w:rPr>
                <w:rFonts w:eastAsia="Times New Roman" w:cs="Times New Roman"/>
              </w:rPr>
              <w:t>45400000-1</w:t>
            </w:r>
          </w:p>
        </w:tc>
      </w:tr>
    </w:tbl>
    <w:p>
      <w:pPr>
        <w:pStyle w:val="Normal"/>
        <w:rPr>
          <w:rFonts w:eastAsia="Times New Roman" w:cs="Times New Roman"/>
        </w:rPr>
      </w:pPr>
      <w:r>
        <w:rPr>
          <w:rFonts w:eastAsia="Times New Roman" w:cs="Times New Roman"/>
        </w:rPr>
        <w:br/>
        <w:br/>
      </w:r>
      <w:r>
        <w:rPr>
          <w:rFonts w:eastAsia="Times New Roman" w:cs="Times New Roman"/>
          <w:b/>
          <w:bCs/>
        </w:rPr>
        <w:t xml:space="preserve">II.6) Całkowita wartość zamówienia </w:t>
      </w:r>
      <w:r>
        <w:rPr>
          <w:rFonts w:eastAsia="Times New Roman" w:cs="Times New Roman"/>
          <w:i/>
          <w:iCs/>
        </w:rPr>
        <w:t>(jeżeli zamawiający podaje informacje o wartości zamówienia)</w:t>
      </w:r>
      <w:r>
        <w:rPr>
          <w:rFonts w:eastAsia="Times New Roman" w:cs="Times New Roman"/>
        </w:rPr>
        <w:t xml:space="preserve">: </w:t>
        <w:br/>
        <w:t xml:space="preserve">Wartość bez VAT: </w:t>
        <w:br/>
        <w:t xml:space="preserve">Waluta: </w:t>
      </w:r>
    </w:p>
    <w:p>
      <w:pPr>
        <w:pStyle w:val="Normal"/>
        <w:rPr>
          <w:rFonts w:eastAsia="Times New Roman" w:cs="Times New Roman"/>
        </w:rPr>
      </w:pPr>
      <w:r>
        <w:rPr>
          <w:rFonts w:eastAsia="Times New Roman" w:cs="Times New Roman"/>
        </w:rPr>
        <w:br/>
      </w:r>
      <w:r>
        <w:rPr>
          <w:rFonts w:eastAsia="Times New Roman" w:cs="Times New Roman"/>
          <w:i/>
          <w:iCs/>
        </w:rPr>
        <w:t>(w przypadku umów ramowych lub dynamicznego systemu zakupów – szacunkowa całkowita maksymalna wartość w całym okresie obowiązywania umowy ramowej lub dynamicznego systemu zakupów)</w:t>
      </w:r>
      <w:r>
        <w:rPr>
          <w:rFonts w:eastAsia="Times New Roman" w:cs="Times New Roman"/>
        </w:rPr>
        <w:t xml:space="preserve"> </w:t>
      </w:r>
    </w:p>
    <w:p>
      <w:pPr>
        <w:pStyle w:val="Normal"/>
        <w:rPr>
          <w:rFonts w:eastAsia="Times New Roman" w:cs="Times New Roman"/>
        </w:rPr>
      </w:pPr>
      <w:r>
        <w:rPr>
          <w:rFonts w:eastAsia="Times New Roman" w:cs="Times New Roman"/>
        </w:rPr>
        <w:br/>
      </w:r>
      <w:r>
        <w:rPr>
          <w:rFonts w:eastAsia="Times New Roman" w:cs="Times New Roman"/>
          <w:b/>
          <w:bCs/>
        </w:rPr>
        <w:t xml:space="preserve">II.7) Czy przewiduje się udzielenie zamówień, o których mowa w art. 67 ust. 1 pkt 6 i 7 lub w art. 134 ust. 6 pkt 3 ustawy Pzp: </w:t>
      </w:r>
      <w:r>
        <w:rPr>
          <w:rFonts w:eastAsia="Times New Roman" w:cs="Times New Roman"/>
        </w:rPr>
        <w:t xml:space="preserve">Nie </w:t>
        <w:br/>
        <w:t xml:space="preserve">Określenie przedmiotu, wielkości lub zakresu oraz warunków na jakich zostaną udzielone zamówienia, o których mowa w art. 67 ust. 1 pkt 6 lub w art. 134 ust. 6 pkt 3 ustawy Pzp: </w:t>
        <w:br/>
      </w:r>
      <w:r>
        <w:rPr>
          <w:rFonts w:eastAsia="Times New Roman" w:cs="Times New Roman"/>
          <w:b/>
          <w:bCs/>
        </w:rPr>
        <w:t>II.8) Okres, w którym realizowane będzie zamówienie lub okres, na który została zawarta umowa ramowa lub okres, na który został ustanowiony dynamiczny system zakupów:</w:t>
      </w:r>
      <w:r>
        <w:rPr>
          <w:rFonts w:eastAsia="Times New Roman" w:cs="Times New Roman"/>
        </w:rPr>
        <w:t xml:space="preserve"> </w:t>
        <w:br/>
        <w:t>miesiącach:   </w:t>
      </w:r>
      <w:r>
        <w:rPr>
          <w:rFonts w:eastAsia="Times New Roman" w:cs="Times New Roman"/>
          <w:i/>
          <w:iCs/>
        </w:rPr>
        <w:t xml:space="preserve"> lub </w:t>
      </w:r>
      <w:r>
        <w:rPr>
          <w:rFonts w:eastAsia="Times New Roman" w:cs="Times New Roman"/>
          <w:b/>
          <w:bCs/>
        </w:rPr>
        <w:t>dniach:</w:t>
      </w:r>
      <w:r>
        <w:rPr>
          <w:rFonts w:eastAsia="Times New Roman" w:cs="Times New Roman"/>
        </w:rPr>
        <w:t xml:space="preserve"> </w:t>
        <w:br/>
      </w:r>
      <w:r>
        <w:rPr>
          <w:rFonts w:eastAsia="Times New Roman" w:cs="Times New Roman"/>
          <w:i/>
          <w:iCs/>
        </w:rPr>
        <w:t>lub</w:t>
      </w:r>
      <w:r>
        <w:rPr>
          <w:rFonts w:eastAsia="Times New Roman" w:cs="Times New Roman"/>
        </w:rPr>
        <w:t xml:space="preserve"> </w:t>
        <w:br/>
      </w:r>
      <w:r>
        <w:rPr>
          <w:rFonts w:eastAsia="Times New Roman" w:cs="Times New Roman"/>
          <w:b/>
          <w:bCs/>
        </w:rPr>
        <w:t xml:space="preserve">data rozpoczęcia: </w:t>
      </w:r>
      <w:r>
        <w:rPr>
          <w:rFonts w:eastAsia="Times New Roman" w:cs="Times New Roman"/>
        </w:rPr>
        <w:t> </w:t>
      </w:r>
      <w:r>
        <w:rPr>
          <w:rFonts w:eastAsia="Times New Roman" w:cs="Times New Roman"/>
          <w:i/>
          <w:iCs/>
        </w:rPr>
        <w:t xml:space="preserve"> lub </w:t>
      </w:r>
      <w:r>
        <w:rPr>
          <w:rFonts w:eastAsia="Times New Roman" w:cs="Times New Roman"/>
          <w:b/>
          <w:bCs/>
        </w:rPr>
        <w:t xml:space="preserve">zakończenia: </w:t>
      </w:r>
      <w:r>
        <w:rPr>
          <w:rFonts w:eastAsia="Times New Roman" w:cs="Times New Roman"/>
        </w:rPr>
        <w:t xml:space="preserve">2018-09-28 </w:t>
        <w:br/>
        <w:br/>
      </w:r>
      <w:r>
        <w:rPr>
          <w:rFonts w:eastAsia="Times New Roman" w:cs="Times New Roman"/>
          <w:b/>
          <w:bCs/>
        </w:rPr>
        <w:t xml:space="preserve">II.9) Informacje dodatkowe: </w:t>
      </w:r>
    </w:p>
    <w:p>
      <w:pPr>
        <w:pStyle w:val="Normal"/>
        <w:rPr>
          <w:rFonts w:eastAsia="Times New Roman" w:cs="Times New Roman"/>
        </w:rPr>
      </w:pPr>
      <w:r>
        <w:rPr>
          <w:rFonts w:eastAsia="Times New Roman" w:cs="Times New Roman"/>
          <w:u w:val="single"/>
        </w:rPr>
        <w:t xml:space="preserve">SEKCJA III: INFORMACJE O CHARAKTERZE PRAWNYM, EKONOMICZNYM, FINANSOWYM I TECHNICZNYM </w:t>
      </w:r>
    </w:p>
    <w:p>
      <w:pPr>
        <w:pStyle w:val="Normal"/>
        <w:rPr>
          <w:rFonts w:eastAsia="Times New Roman" w:cs="Times New Roman"/>
        </w:rPr>
      </w:pPr>
      <w:r>
        <w:rPr>
          <w:rFonts w:eastAsia="Times New Roman" w:cs="Times New Roman"/>
          <w:b/>
          <w:bCs/>
        </w:rPr>
        <w:t xml:space="preserve">III.1) WARUNKI UDZIAŁU W POSTĘPOWANIU </w:t>
      </w:r>
    </w:p>
    <w:p>
      <w:pPr>
        <w:pStyle w:val="Normal"/>
        <w:rPr>
          <w:rFonts w:eastAsia="Times New Roman" w:cs="Times New Roman"/>
        </w:rPr>
      </w:pPr>
      <w:r>
        <w:rPr>
          <w:rFonts w:eastAsia="Times New Roman" w:cs="Times New Roman"/>
          <w:b/>
          <w:bCs/>
        </w:rPr>
        <w:t>III.1.1) Kompetencje lub uprawnienia do prowadzenia określonej działalności zawodowej, o ile wynika to z odrębnych przepisów</w:t>
      </w:r>
      <w:r>
        <w:rPr>
          <w:rFonts w:eastAsia="Times New Roman" w:cs="Times New Roman"/>
        </w:rPr>
        <w:t xml:space="preserve"> </w:t>
        <w:br/>
        <w:t xml:space="preserve">Określenie warunków: </w:t>
        <w:br/>
        <w:t xml:space="preserve">Informacje dodatkowe </w:t>
        <w:br/>
      </w:r>
      <w:r>
        <w:rPr>
          <w:rFonts w:eastAsia="Times New Roman" w:cs="Times New Roman"/>
          <w:b/>
          <w:bCs/>
        </w:rPr>
        <w:t xml:space="preserve">III.1.2) Sytuacja finansowa lub ekonomiczna </w:t>
      </w:r>
      <w:r>
        <w:rPr>
          <w:rFonts w:eastAsia="Times New Roman" w:cs="Times New Roman"/>
        </w:rPr>
        <w:br/>
        <w:t xml:space="preserve">Określenie warunków: </w:t>
        <w:br/>
        <w:t xml:space="preserve">Informacje dodatkowe </w:t>
        <w:br/>
      </w:r>
      <w:r>
        <w:rPr>
          <w:rFonts w:eastAsia="Times New Roman" w:cs="Times New Roman"/>
          <w:b/>
          <w:bCs/>
        </w:rPr>
        <w:t xml:space="preserve">III.1.3) Zdolność techniczna lub zawodowa </w:t>
      </w:r>
      <w:r>
        <w:rPr>
          <w:rFonts w:eastAsia="Times New Roman" w:cs="Times New Roman"/>
        </w:rPr>
        <w:br/>
        <w:t xml:space="preserve">Określenie warunków: 1) Zdolności technicznej lub zawodowej Wykonawcy. W okresie ostatnich 5 lat przed upływem terminu składania ofert, a jeżeli okres prowadzenia działalności jest krótszy – to w tym okresie, Wykonawca musi wykazać się doświadczeniem w realizacji jednej roboty budowlanej, która obejmowała roboty branży budowlanej, polegające na budowie i/lub remoncie i/lub przebudowie obiektu kubaturowego i/lub zespołu obiektów kubaturowych, o wartości nie mniejszej niż 150 000 PLN /brutto/. Przy dokonywaniu oceny spełniania w/w warunku udziału w postępowaniu, Zamawiający uzna tylko roboty budowlane, które zostały zakończone i odebrane przez zleceniodawców. Jako zakończenie zadania należy rozumieć podpisanie protokołu odbioru robót lub równoważnego dokumentu. 2) Zdolności technicznej lub zawodowej osób skierowanych przez Wykonawcę do realizacji zamówienia, tj. Wykonawca musi wykazać, że w celu realizacji zamówienia dysponuje następującymi osobami odpowiedzialnymi za kierowanie robotami budowlanymi, posiadającymi kwalifikacje zawodowe, uprawnienia i doświadczenie niezbędne do wykonania zamówienia:a) 1 osoba, która będzie pełnić funkcję Kierownika budowy posiadająca: - uprawnienia budowlane bez ograniczeń do kierowania robotami budowlanymi w specjalności konstrukcyjno – budowlanej w rozumieniu ustawy z dnia 7 lipca 1994 r. Prawo budowlane oraz która przez co najmniej 18 miesięcy brała udział w robotach budowlanych prowadzonych przy zabytkach nieruchomych wpisanych do rejestru lub inwentarza muzeum będącego instytucją kultury (art. 37c - Ustawa z dnia 23 lipca 2003 r. o ochronie zabytków i opiece nad zabytkami Dz.U.2017.0.2187) b) 1 osoba, która będzie pełnić funkcję Kierownika robót elektrycznych posiadająca: - uprawnienia budowlane bez ograniczeń do kierowania robotami budowlanymi w specjalności instalacyjnej w zakresie sieci, instalacji i urządzeń elektrycznych i elektroenergetycznych w rozumieniu ustawy z dnia 7 lipca 1994 r. Prawo budowlane. </w:t>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br/>
        <w:t xml:space="preserve">Informacje dodatkowe: Zamawiający, określając wymogi dla osoby w zakresie posiadanych uprawnień budowlanych wymaga uprawnień w rozumieniu ustawy z dnia 7 lipca 1994 r. Prawo budowlane oraz Rozporządzenia Ministra Infrastruktury i Rozwoju z dnia 11 września 2014 r. w sprawie samodzielnych funkcji technicznych w budownictwie (Dz. U. 2014 r. poz. 1278 ze zm.), przy czym: 1) Zamawiający zaakceptuje uprawnienia budowlane odpowiadające wymaganym uprawnieniom, które zostały wydane na podstawie wcześniej obowiązujących przepisów prawa w zakresie niezbędnym do realizacji robót objętych przedmiotem zamówienia, a także odpowiadające im uprawnienia wydane obywatelom państw Europejskiego Obszaru Gospodarczego oraz Konfederacji Szwajcarskiej, z zastrzeżeniem art. 12 a oraz innych przepisów ustawy Prawo budowlane oraz ustawy z dnia 22 grudnia 2015 r. o zasadach uznawania kwalifikacji zawodowych nabytych w państwach członkowskich Unii Europejskiej (Dz. U. z 2016 r. poz. 65), 2) Na podstawie art. 104 ustawy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 przypadku wartości wykonanych robót podanej w innej walucie niż PLN, Zamawiający w celu sprawdzenia spełnienia wymaganego powyżej warunku udziału w postępowaniu przeliczy te wartości na PLN wg średniego kursu złotego w stosunku do walut obcych ogłaszanego przez Narodowy Bank Polski, obowiązującego na dzień, w którym zostało opublikowane ogłoszenie o zamówieniu w Biuletynie Zamówień Publicznych. </w:t>
      </w:r>
    </w:p>
    <w:p>
      <w:pPr>
        <w:pStyle w:val="Normal"/>
        <w:rPr>
          <w:rFonts w:eastAsia="Times New Roman" w:cs="Times New Roman"/>
        </w:rPr>
      </w:pPr>
      <w:r>
        <w:rPr>
          <w:rFonts w:eastAsia="Times New Roman" w:cs="Times New Roman"/>
          <w:b/>
          <w:bCs/>
        </w:rPr>
        <w:t xml:space="preserve">III.2) PODSTAWY WYKLUCZENIA </w:t>
      </w:r>
    </w:p>
    <w:p>
      <w:pPr>
        <w:pStyle w:val="Normal"/>
        <w:rPr>
          <w:rFonts w:eastAsia="Times New Roman" w:cs="Times New Roman"/>
        </w:rPr>
      </w:pPr>
      <w:r>
        <w:rPr>
          <w:rFonts w:eastAsia="Times New Roman" w:cs="Times New Roman"/>
          <w:b/>
          <w:bCs/>
        </w:rPr>
        <w:t>III.2.1) Podstawy wykluczenia określone w art. 24 ust. 1 ustawy Pzp</w:t>
      </w:r>
      <w:r>
        <w:rPr>
          <w:rFonts w:eastAsia="Times New Roman" w:cs="Times New Roman"/>
        </w:rPr>
        <w:t xml:space="preserve"> </w:t>
        <w:br/>
      </w:r>
      <w:r>
        <w:rPr>
          <w:rFonts w:eastAsia="Times New Roman" w:cs="Times New Roman"/>
          <w:b/>
          <w:bCs/>
        </w:rPr>
        <w:t>III.2.2) Zamawiający przewiduje wykluczenie wykonawcy na podstawie art. 24 ust. 5 ustawy Pzp</w:t>
      </w:r>
      <w:r>
        <w:rPr>
          <w:rFonts w:eastAsia="Times New Roman" w:cs="Times New Roman"/>
        </w:rPr>
        <w:t xml:space="preserve"> Nie Zamawiający przewiduje następujące fakultatywne podstawy wykluczenia: </w:t>
        <w:br/>
        <w:br/>
        <w:br/>
        <w:br/>
        <w:br/>
        <w:br/>
        <w:br/>
      </w:r>
    </w:p>
    <w:p>
      <w:pPr>
        <w:pStyle w:val="Normal"/>
        <w:rPr>
          <w:rFonts w:eastAsia="Times New Roman" w:cs="Times New Roman"/>
        </w:rPr>
      </w:pPr>
      <w:r>
        <w:rPr>
          <w:rFonts w:eastAsia="Times New Roman" w:cs="Times New Roman"/>
          <w:b/>
          <w:bCs/>
        </w:rPr>
        <w:t xml:space="preserve">III.3) WYKAZ OŚWIADCZEŃ SKŁADANYCH PRZEZ WYKONAWCĘ W CELU WSTĘPNEGO POTWIERDZENIA, ŻE NIE PODLEGA ON WYKLUCZENIU ORAZ SPEŁNIA WARUNKI UDZIAŁU W POSTĘPOWANIU ORAZ SPEŁNIA KRYTERIA SELEKCJI </w:t>
      </w:r>
    </w:p>
    <w:p>
      <w:pPr>
        <w:pStyle w:val="Normal"/>
        <w:rPr>
          <w:rFonts w:eastAsia="Times New Roman" w:cs="Times New Roman"/>
        </w:rPr>
      </w:pPr>
      <w:r>
        <w:rPr>
          <w:rFonts w:eastAsia="Times New Roman" w:cs="Times New Roman"/>
          <w:b/>
          <w:bCs/>
        </w:rPr>
        <w:t xml:space="preserve">Oświadczenie o niepodleganiu wykluczeniu oraz spełnianiu warunków udziału w postępowaniu </w:t>
      </w:r>
      <w:r>
        <w:rPr>
          <w:rFonts w:eastAsia="Times New Roman" w:cs="Times New Roman"/>
        </w:rPr>
        <w:br/>
        <w:t xml:space="preserve">Tak </w:t>
        <w:br/>
      </w:r>
      <w:r>
        <w:rPr>
          <w:rFonts w:eastAsia="Times New Roman" w:cs="Times New Roman"/>
          <w:b/>
          <w:bCs/>
        </w:rPr>
        <w:t xml:space="preserve">Oświadczenie o spełnianiu kryteriów selekcji </w:t>
      </w:r>
      <w:r>
        <w:rPr>
          <w:rFonts w:eastAsia="Times New Roman" w:cs="Times New Roman"/>
        </w:rPr>
        <w:br/>
        <w:t xml:space="preserve">Nie </w:t>
      </w:r>
    </w:p>
    <w:p>
      <w:pPr>
        <w:pStyle w:val="Normal"/>
        <w:rPr>
          <w:rFonts w:eastAsia="Times New Roman" w:cs="Times New Roman"/>
        </w:rPr>
      </w:pPr>
      <w:r>
        <w:rPr>
          <w:rFonts w:eastAsia="Times New Roman" w:cs="Times New Roman"/>
          <w:b/>
          <w:bCs/>
        </w:rPr>
        <w:t xml:space="preserve">III.4) WYKAZ OŚWIADCZEŃ LUB DOKUMENTÓW , SKŁADANYCH PRZEZ WYKONAWCĘ W POSTĘPOWANIU NA WEZWANIE ZAMAWIAJACEGO W CELU POTWIERDZENIA OKOLICZNOŚCI, O KTÓRYCH MOWA W ART. 25 UST. 1 PKT 3 USTAWY PZP: </w:t>
      </w:r>
    </w:p>
    <w:p>
      <w:pPr>
        <w:pStyle w:val="Normal"/>
        <w:rPr>
          <w:rFonts w:eastAsia="Times New Roman" w:cs="Times New Roman"/>
        </w:rPr>
      </w:pPr>
      <w:r>
        <w:rPr>
          <w:rFonts w:eastAsia="Times New Roman" w:cs="Times New Roman"/>
          <w:b/>
          <w:bCs/>
        </w:rPr>
        <w:t xml:space="preserve">III.5) WYKAZ OŚWIADCZEŃ LUB DOKUMENTÓW SKŁADANYCH PRZEZ WYKONAWCĘ W POSTĘPOWANIU NA WEZWANIE ZAMAWIAJACEGO W CELU POTWIERDZENIA OKOLICZNOŚCI, O KTÓRYCH MOWA W ART. 25 UST. 1 PKT 1 USTAWY PZP </w:t>
      </w:r>
    </w:p>
    <w:p>
      <w:pPr>
        <w:pStyle w:val="Normal"/>
        <w:rPr>
          <w:rFonts w:eastAsia="Times New Roman" w:cs="Times New Roman"/>
        </w:rPr>
      </w:pPr>
      <w:r>
        <w:rPr>
          <w:rFonts w:eastAsia="Times New Roman" w:cs="Times New Roman"/>
          <w:b/>
          <w:bCs/>
        </w:rPr>
        <w:t>III.5.1) W ZAKRESIE SPEŁNIANIA WARUNKÓW UDZIAŁU W POSTĘPOWANIU:</w:t>
      </w:r>
      <w:r>
        <w:rPr>
          <w:rFonts w:eastAsia="Times New Roman" w:cs="Times New Roman"/>
        </w:rPr>
        <w:t xml:space="preserve"> </w:t>
        <w:br/>
        <w:t xml:space="preserve">1. W celu potwierdzenia spełniania przez Wykonawcę warunków udziału w postępowaniu, na wezwanie Zamawiającego, zgodnie z art. 26 ust. 2 ustawy, Wykonawca zobowiązany jest złożyć następujące oświadczenia i dokumenty: 1) wykaz robót budowlanych wykonanych nie wcześniej niż w okresie ostatnich 5 lat przed upływem terminu składania ofert, a jeżeli okres prowadzenia działalności jest krótszy – to w tym okresie, z podaniem ich rodzaju, wartości, daty i miejsca wykonania oraz podmiotów, na rzecz których roboty/usługi te zostały wykonane – propozycję wzoru wykazu wykonanych robót budowlanych, Zamawiający przekaże Wykonawcy wraz z wezwaniem, o którym mowa w art. 26 ust. 2 ustawy, 2) dowody (referencje, bądź inne dokumenty wystawione przez podmiot, na rzecz którego roboty budowlane były wykonane) określające, czy roboty budowlane/usługi wymienione w wykazie, o którym mowa w pkt. 1) zostały wykonane należycie, w szczególności informacje o tym, czy roboty te zostały wykonane zgodnie z przepisami prawa budowlanego i prawidłowo ukończone, 3) wykaz osób, skierowanych przez Wykonawcę do realizacji zamówienia publicznego, w szczególności odpowiedzialnych za świadczenie robót i kontrolę jakości wraz z informacjami na temat ich kwalifikacji zawodowych, uprawnień i doświadczenia niezbędnych do wykonania zamówienia publicznego, a także zakresu wykonywanych przez nie czynności oraz informacją o podstawie dysponowania tymi osobami – propozycję wzoru wykazu osób, skierowanych przez Wykonawcę do realizacji zamówienia, Zamawiający przekaże Wykonawcy wraz z wezwaniem, zgodnie z art. 26 ust. 2 ustawy. 2. Jeżeli wykazy, oświadczenia lub inne złożone przez Wykonawcę dokumenty budzą wątpliwości Zamawiającego, może on zwrócić się bezpośrednio do właściwego podmiotu, na rzecz którego roboty były wykonywane, o dodatkowe informacje lub dokumenty w tym zakresie. </w:t>
        <w:br/>
      </w:r>
      <w:r>
        <w:rPr>
          <w:rFonts w:eastAsia="Times New Roman" w:cs="Times New Roman"/>
          <w:b/>
          <w:bCs/>
        </w:rPr>
        <w:t>III.5.2) W ZAKRESIE KRYTERIÓW SELEKCJI:</w:t>
      </w:r>
      <w:r>
        <w:rPr>
          <w:rFonts w:eastAsia="Times New Roman" w:cs="Times New Roman"/>
        </w:rPr>
        <w:t xml:space="preserve"> </w:t>
        <w:br/>
      </w:r>
    </w:p>
    <w:p>
      <w:pPr>
        <w:pStyle w:val="Normal"/>
        <w:rPr>
          <w:rFonts w:eastAsia="Times New Roman" w:cs="Times New Roman"/>
        </w:rPr>
      </w:pPr>
      <w:r>
        <w:rPr>
          <w:rFonts w:eastAsia="Times New Roman" w:cs="Times New Roman"/>
          <w:b/>
          <w:bCs/>
        </w:rPr>
        <w:t xml:space="preserve">III.6) WYKAZ OŚWIADCZEŃ LUB DOKUMENTÓW SKŁADANYCH PRZEZ WYKONAWCĘ W POSTĘPOWANIU NA WEZWANIE ZAMAWIAJACEGO W CELU POTWIERDZENIA OKOLICZNOŚCI, O KTÓRYCH MOWA W ART. 25 UST. 1 PKT 2 USTAWY PZP </w:t>
      </w:r>
    </w:p>
    <w:p>
      <w:pPr>
        <w:pStyle w:val="Normal"/>
        <w:rPr>
          <w:rFonts w:eastAsia="Times New Roman" w:cs="Times New Roman"/>
        </w:rPr>
      </w:pPr>
      <w:r>
        <w:rPr>
          <w:rFonts w:eastAsia="Times New Roman" w:cs="Times New Roman"/>
          <w:b/>
          <w:bCs/>
        </w:rPr>
        <w:t xml:space="preserve">III.7) INNE DOKUMENTY NIE WYMIENIONE W pkt III.3) - III.6) </w:t>
      </w:r>
    </w:p>
    <w:p>
      <w:pPr>
        <w:pStyle w:val="Normal"/>
        <w:rPr>
          <w:rFonts w:eastAsia="Times New Roman" w:cs="Times New Roman"/>
        </w:rPr>
      </w:pPr>
      <w:r>
        <w:rPr>
          <w:rFonts w:eastAsia="Times New Roman" w:cs="Times New Roman"/>
        </w:rPr>
        <w:t xml:space="preserve">1.Wypełniony formularz ofertowy, sporządzony z wykorzystaniem wzoru stanowiącego Załącznik do SIWZ, 2. Oświadczenie o spełnianiu warunków udziału w postępowaniu oraz o braku podstaw do wykluczenia zgodnie z wzorem stanowiącym Załącznik nr 1 i nr 2 do SIWZ. 3. 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złożenia oświadczenia, o którym jest mowa w ust. 3 dotyczącego każdego z Wykonawców występujących wspólnie. 3. Do oferty należy dołączyć dokumenty, z których wynika prawo do podpisania oferty względnie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2017 poz. 570 tj.), a Wykonawca wskazał to wraz ze złożeniem oferty. 4. W przypadku, gdy upoważnienie do podpisania oferty nie wynika bezpośrednio z dokumentów wymienionych w ust. 1do oferty należy dołączyć również stosowne pełnomocnictwo (a). 5. Jeżeli Wykonawca, wykazując spełnianie warunków, o których mowa w art. 22 ust. 1 pkt. 2 i ust. 1b ustawy, polega na zasobach innych podmiotów na zasadach określonych w art. 22a ust. 1 ustawy, Zamawiający żąda od Wykonawcy przedstawienia zobowiązania tych podmiotów do oddania mu do dyspozycji niezbędnych zasobów na potrzeby realizacji zamówienia - wg wzoru stanowiącego załącznik nr 3 do SIWZ oraz złożenia oświadczenia, o którym jest mowa w ust. 3 dotyczącego tego podmiotu. 6. W celu wykazania braku podstaw do wykluczenia z postępowania o udzielenie zamówienia Wykonawcy w okolicznościach, o których mowa w art. 24 ust. 1 pkt. 23) ustawy, Zamawiający żąda oświadczeń o przynależności lub braku przynależności do tej samej grupy kapitałowej co inni Wykonawcy w rozumieniu ustawy z dnia 16 lutego 2007 r. o ochronie konkurencji i konsumentów (Dz. U. z 2017 poz. 229 t.j.). Wraz ze złożeniem w/w oświadczenia, Wykonawca może przedstawić dowody, że powiązania z innym Wykonawcą nie prowadzą do zakłócenia konkurencji w postępowaniu. Oświadczenie należy przekazać w terminie 3 dni od dnia zamieszczenia na stronie internetowej informacji, o której mowa w art. 86 ust. 5 ustawy. 7. Informację, o której mowa w art. 86 ust. 5 ustawy oraz propozycję treści oświadczenia, o którym mowa w art. 24 ust. 1 pkt. 23 ustawy, Zamawiający zamieści niezwłocznie po otwarciu ofert na stronie internetowej pod adresem: www.biblioteka.ketrzyn.pl </w:t>
      </w:r>
    </w:p>
    <w:p>
      <w:pPr>
        <w:pStyle w:val="Normal"/>
        <w:rPr>
          <w:rFonts w:eastAsia="Times New Roman" w:cs="Times New Roman"/>
        </w:rPr>
      </w:pPr>
      <w:r>
        <w:rPr>
          <w:rFonts w:eastAsia="Times New Roman" w:cs="Times New Roman"/>
          <w:u w:val="single"/>
        </w:rPr>
        <w:t xml:space="preserve">SEKCJA IV: PROCEDURA </w:t>
      </w:r>
    </w:p>
    <w:p>
      <w:pPr>
        <w:pStyle w:val="Normal"/>
        <w:rPr>
          <w:rFonts w:eastAsia="Times New Roman" w:cs="Times New Roman"/>
        </w:rPr>
      </w:pPr>
      <w:r>
        <w:rPr>
          <w:rFonts w:eastAsia="Times New Roman" w:cs="Times New Roman"/>
          <w:b/>
          <w:bCs/>
        </w:rPr>
        <w:t xml:space="preserve">IV.1) OPIS </w:t>
      </w:r>
      <w:r>
        <w:rPr>
          <w:rFonts w:eastAsia="Times New Roman" w:cs="Times New Roman"/>
        </w:rPr>
        <w:br/>
      </w:r>
      <w:r>
        <w:rPr>
          <w:rFonts w:eastAsia="Times New Roman" w:cs="Times New Roman"/>
          <w:b/>
          <w:bCs/>
        </w:rPr>
        <w:t xml:space="preserve">IV.1.1) Tryb udzielenia zamówienia: </w:t>
      </w:r>
      <w:r>
        <w:rPr>
          <w:rFonts w:eastAsia="Times New Roman" w:cs="Times New Roman"/>
        </w:rPr>
        <w:t xml:space="preserve">Przetarg nieograniczony </w:t>
        <w:br/>
      </w:r>
      <w:r>
        <w:rPr>
          <w:rFonts w:eastAsia="Times New Roman" w:cs="Times New Roman"/>
          <w:b/>
          <w:bCs/>
        </w:rPr>
        <w:t>IV.1.2) Zamawiający żąda wniesienia wadium:</w:t>
      </w:r>
      <w:r>
        <w:rPr>
          <w:rFonts w:eastAsia="Times New Roman" w:cs="Times New Roman"/>
        </w:rPr>
        <w:t xml:space="preserve"> </w:t>
      </w:r>
    </w:p>
    <w:p>
      <w:pPr>
        <w:pStyle w:val="Normal"/>
        <w:rPr>
          <w:rFonts w:eastAsia="Times New Roman" w:cs="Times New Roman"/>
        </w:rPr>
      </w:pPr>
      <w:r>
        <w:rPr>
          <w:rFonts w:eastAsia="Times New Roman" w:cs="Times New Roman"/>
        </w:rPr>
        <w:t xml:space="preserve">Tak </w:t>
        <w:br/>
        <w:t xml:space="preserve">Informacja na temat wadium </w:t>
        <w:br/>
        <w:t xml:space="preserve">1. Każdy Wykonawca zobowiązany jest zabezpieczyć swą ofertę wadium w wysokości: 3 000,00 zł (słownie: trzy tysiące złotych). </w:t>
      </w:r>
    </w:p>
    <w:p>
      <w:pPr>
        <w:pStyle w:val="Normal"/>
        <w:rPr>
          <w:rFonts w:eastAsia="Times New Roman" w:cs="Times New Roman"/>
        </w:rPr>
      </w:pPr>
      <w:r>
        <w:rPr>
          <w:rFonts w:eastAsia="Times New Roman" w:cs="Times New Roman"/>
        </w:rPr>
        <w:br/>
      </w:r>
      <w:r>
        <w:rPr>
          <w:rFonts w:eastAsia="Times New Roman" w:cs="Times New Roman"/>
          <w:b/>
          <w:bCs/>
        </w:rPr>
        <w:t>IV.1.3) Przewiduje się udzielenie zaliczek na poczet wykonania zamówienia:</w:t>
      </w:r>
      <w:r>
        <w:rPr>
          <w:rFonts w:eastAsia="Times New Roman" w:cs="Times New Roman"/>
        </w:rPr>
        <w:t xml:space="preserve"> </w:t>
      </w:r>
    </w:p>
    <w:p>
      <w:pPr>
        <w:pStyle w:val="Normal"/>
        <w:rPr>
          <w:rFonts w:eastAsia="Times New Roman" w:cs="Times New Roman"/>
        </w:rPr>
      </w:pPr>
      <w:r>
        <w:rPr>
          <w:rFonts w:eastAsia="Times New Roman" w:cs="Times New Roman"/>
        </w:rPr>
        <w:t xml:space="preserve">Nie </w:t>
        <w:br/>
        <w:t xml:space="preserve">Należy podać informacje na temat udzielania zaliczek: </w:t>
        <w:br/>
      </w:r>
    </w:p>
    <w:p>
      <w:pPr>
        <w:pStyle w:val="Normal"/>
        <w:rPr>
          <w:rFonts w:eastAsia="Times New Roman" w:cs="Times New Roman"/>
        </w:rPr>
      </w:pPr>
      <w:r>
        <w:rPr>
          <w:rFonts w:eastAsia="Times New Roman" w:cs="Times New Roman"/>
        </w:rPr>
        <w:br/>
      </w:r>
      <w:r>
        <w:rPr>
          <w:rFonts w:eastAsia="Times New Roman" w:cs="Times New Roman"/>
          <w:b/>
          <w:bCs/>
        </w:rPr>
        <w:t xml:space="preserve">IV.1.4) Wymaga się złożenia ofert w postaci katalogów elektronicznych lub dołączenia do ofert katalogów elektronicznych: </w:t>
      </w:r>
    </w:p>
    <w:p>
      <w:pPr>
        <w:pStyle w:val="Normal"/>
        <w:rPr>
          <w:rFonts w:eastAsia="Times New Roman" w:cs="Times New Roman"/>
        </w:rPr>
      </w:pPr>
      <w:r>
        <w:rPr>
          <w:rFonts w:eastAsia="Times New Roman" w:cs="Times New Roman"/>
        </w:rPr>
        <w:t xml:space="preserve">Nie </w:t>
        <w:br/>
        <w:t xml:space="preserve">Dopuszcza się złożenie ofert w postaci katalogów elektronicznych lub dołączenia do ofert katalogów elektronicznych: </w:t>
        <w:br/>
        <w:t xml:space="preserve">Nie </w:t>
        <w:br/>
        <w:t xml:space="preserve">Informacje dodatkowe: </w:t>
        <w:br/>
      </w:r>
    </w:p>
    <w:p>
      <w:pPr>
        <w:pStyle w:val="Normal"/>
        <w:rPr>
          <w:rFonts w:eastAsia="Times New Roman" w:cs="Times New Roman"/>
        </w:rPr>
      </w:pPr>
      <w:r>
        <w:rPr>
          <w:rFonts w:eastAsia="Times New Roman" w:cs="Times New Roman"/>
        </w:rPr>
        <w:br/>
      </w:r>
      <w:r>
        <w:rPr>
          <w:rFonts w:eastAsia="Times New Roman" w:cs="Times New Roman"/>
          <w:b/>
          <w:bCs/>
        </w:rPr>
        <w:t xml:space="preserve">IV.1.5.) Wymaga się złożenia oferty wariantowej: </w:t>
      </w:r>
    </w:p>
    <w:p>
      <w:pPr>
        <w:pStyle w:val="Normal"/>
        <w:rPr>
          <w:rFonts w:eastAsia="Times New Roman" w:cs="Times New Roman"/>
        </w:rPr>
      </w:pPr>
      <w:r>
        <w:rPr>
          <w:rFonts w:eastAsia="Times New Roman" w:cs="Times New Roman"/>
        </w:rPr>
        <w:t xml:space="preserve">Nie </w:t>
        <w:br/>
        <w:t xml:space="preserve">Dopuszcza się złożenie oferty wariantowej </w:t>
        <w:br/>
        <w:t xml:space="preserve">Nie </w:t>
        <w:br/>
        <w:t xml:space="preserve">Złożenie oferty wariantowej dopuszcza się tylko z jednoczesnym złożeniem oferty zasadniczej: </w:t>
        <w:br/>
        <w:t xml:space="preserve">Nie </w:t>
      </w:r>
    </w:p>
    <w:p>
      <w:pPr>
        <w:pStyle w:val="Normal"/>
        <w:rPr>
          <w:rFonts w:eastAsia="Times New Roman" w:cs="Times New Roman"/>
        </w:rPr>
      </w:pPr>
      <w:r>
        <w:rPr>
          <w:rFonts w:eastAsia="Times New Roman" w:cs="Times New Roman"/>
        </w:rPr>
        <w:br/>
      </w:r>
      <w:r>
        <w:rPr>
          <w:rFonts w:eastAsia="Times New Roman" w:cs="Times New Roman"/>
          <w:b/>
          <w:bCs/>
        </w:rPr>
        <w:t xml:space="preserve">IV.1.6) Przewidywana liczba wykonawców, którzy zostaną zaproszeni do udziału w postępowaniu </w:t>
      </w:r>
      <w:r>
        <w:rPr>
          <w:rFonts w:eastAsia="Times New Roman" w:cs="Times New Roman"/>
        </w:rPr>
        <w:br/>
      </w:r>
      <w:r>
        <w:rPr>
          <w:rFonts w:eastAsia="Times New Roman" w:cs="Times New Roman"/>
          <w:i/>
          <w:iCs/>
        </w:rPr>
        <w:t xml:space="preserve">(przetarg ograniczony, negocjacje z ogłoszeniem, dialog konkurencyjny, partnerstwo innowacyjne) </w:t>
      </w:r>
    </w:p>
    <w:p>
      <w:pPr>
        <w:pStyle w:val="Normal"/>
        <w:rPr>
          <w:rFonts w:eastAsia="Times New Roman" w:cs="Times New Roman"/>
        </w:rPr>
      </w:pPr>
      <w:r>
        <w:rPr>
          <w:rFonts w:eastAsia="Times New Roman" w:cs="Times New Roman"/>
        </w:rPr>
        <w:t xml:space="preserve">Liczba wykonawców   </w:t>
        <w:br/>
        <w:t xml:space="preserve">Przewidywana minimalna liczba wykonawców </w:t>
        <w:br/>
        <w:t xml:space="preserve">Maksymalna liczba wykonawców   </w:t>
        <w:br/>
        <w:t xml:space="preserve">Kryteria selekcji wykonawców: </w:t>
        <w:br/>
      </w:r>
    </w:p>
    <w:p>
      <w:pPr>
        <w:pStyle w:val="Normal"/>
        <w:rPr>
          <w:rFonts w:eastAsia="Times New Roman" w:cs="Times New Roman"/>
        </w:rPr>
      </w:pPr>
      <w:r>
        <w:rPr>
          <w:rFonts w:eastAsia="Times New Roman" w:cs="Times New Roman"/>
        </w:rPr>
        <w:br/>
      </w:r>
      <w:r>
        <w:rPr>
          <w:rFonts w:eastAsia="Times New Roman" w:cs="Times New Roman"/>
          <w:b/>
          <w:bCs/>
        </w:rPr>
        <w:t xml:space="preserve">IV.1.7) Informacje na temat umowy ramowej lub dynamicznego systemu zakupów: </w:t>
      </w:r>
    </w:p>
    <w:p>
      <w:pPr>
        <w:pStyle w:val="Normal"/>
        <w:rPr>
          <w:rFonts w:eastAsia="Times New Roman" w:cs="Times New Roman"/>
        </w:rPr>
      </w:pPr>
      <w:r>
        <w:rPr>
          <w:rFonts w:eastAsia="Times New Roman" w:cs="Times New Roman"/>
        </w:rPr>
        <w:t xml:space="preserve">Umowa ramowa będzie zawarta: </w:t>
        <w:br/>
        <w:br/>
        <w:t xml:space="preserve">Czy przewiduje się ograniczenie liczby uczestników umowy ramowej: </w:t>
        <w:br/>
        <w:br/>
        <w:t xml:space="preserve">Przewidziana maksymalna liczba uczestników umowy ramowej: </w:t>
        <w:br/>
        <w:br/>
        <w:t xml:space="preserve">Informacje dodatkowe: </w:t>
        <w:br/>
        <w:br/>
        <w:t xml:space="preserve">Zamówienie obejmuje ustanowienie dynamicznego systemu zakupów: </w:t>
        <w:br/>
        <w:br/>
        <w:t xml:space="preserve">Adres strony internetowej, na której będą zamieszczone dodatkowe informacje dotyczące dynamicznego systemu zakupów: </w:t>
        <w:br/>
        <w:br/>
        <w:t xml:space="preserve">Informacje dodatkowe: </w:t>
        <w:br/>
        <w:br/>
        <w:t xml:space="preserve">W ramach umowy ramowej/dynamicznego systemu zakupów dopuszcza się złożenie ofert w formie katalogów elektronicznych: </w:t>
        <w:br/>
        <w:br/>
        <w:t xml:space="preserve">Przewiduje się pobranie ze złożonych katalogów elektronicznych informacji potrzebnych do sporządzenia ofert w ramach umowy ramowej/dynamicznego systemu zakupów: </w:t>
        <w:br/>
      </w:r>
    </w:p>
    <w:p>
      <w:pPr>
        <w:pStyle w:val="Normal"/>
        <w:rPr>
          <w:rFonts w:eastAsia="Times New Roman" w:cs="Times New Roman"/>
        </w:rPr>
      </w:pPr>
      <w:r>
        <w:rPr>
          <w:rFonts w:eastAsia="Times New Roman" w:cs="Times New Roman"/>
        </w:rPr>
        <w:br/>
      </w:r>
      <w:r>
        <w:rPr>
          <w:rFonts w:eastAsia="Times New Roman" w:cs="Times New Roman"/>
          <w:b/>
          <w:bCs/>
        </w:rPr>
        <w:t xml:space="preserve">IV.1.8) Aukcja elektroniczna </w:t>
      </w:r>
      <w:r>
        <w:rPr>
          <w:rFonts w:eastAsia="Times New Roman" w:cs="Times New Roman"/>
        </w:rPr>
        <w:br/>
      </w:r>
      <w:r>
        <w:rPr>
          <w:rFonts w:eastAsia="Times New Roman" w:cs="Times New Roman"/>
          <w:b/>
          <w:bCs/>
        </w:rPr>
        <w:t xml:space="preserve">Przewidziane jest przeprowadzenie aukcji elektronicznej </w:t>
      </w:r>
      <w:r>
        <w:rPr>
          <w:rFonts w:eastAsia="Times New Roman" w:cs="Times New Roman"/>
          <w:i/>
          <w:iCs/>
        </w:rPr>
        <w:t xml:space="preserve">(przetarg nieograniczony, przetarg ograniczony, negocjacje z ogłoszeniem) </w:t>
      </w:r>
      <w:r>
        <w:rPr>
          <w:rFonts w:eastAsia="Times New Roman" w:cs="Times New Roman"/>
        </w:rPr>
        <w:t xml:space="preserve">Nie </w:t>
        <w:br/>
        <w:t xml:space="preserve">Należy podać adres strony internetowej, na której aukcja będzie prowadzona: </w:t>
        <w:br/>
        <w:br/>
      </w:r>
      <w:r>
        <w:rPr>
          <w:rFonts w:eastAsia="Times New Roman" w:cs="Times New Roman"/>
          <w:b/>
          <w:bCs/>
        </w:rPr>
        <w:t xml:space="preserve">Należy wskazać elementy, których wartości będą przedmiotem aukcji elektronicznej: </w:t>
      </w:r>
      <w:r>
        <w:rPr>
          <w:rFonts w:eastAsia="Times New Roman" w:cs="Times New Roman"/>
        </w:rPr>
        <w:br/>
      </w:r>
      <w:r>
        <w:rPr>
          <w:rFonts w:eastAsia="Times New Roman" w:cs="Times New Roman"/>
          <w:b/>
          <w:bCs/>
        </w:rPr>
        <w:t>Przewiduje się ograniczenia co do przedstawionych wartości, wynikające z opisu przedmiotu zamówienia:</w:t>
      </w:r>
      <w:r>
        <w:rPr>
          <w:rFonts w:eastAsia="Times New Roman" w:cs="Times New Roman"/>
        </w:rPr>
        <w:t xml:space="preserve"> </w:t>
        <w:br/>
        <w:br/>
        <w:t xml:space="preserve">Należy podać, które informacje zostaną udostępnione wykonawcom w trakcie aukcji elektronicznej oraz jaki będzie termin ich udostępnienia: </w:t>
        <w:br/>
        <w:t xml:space="preserve">Informacje dotyczące przebiegu aukcji elektronicznej: </w:t>
        <w:br/>
        <w:t xml:space="preserve">Jaki jest przewidziany sposób postępowania w toku aukcji elektronicznej i jakie będą warunki, na jakich wykonawcy będą mogli licytować (minimalne wysokości postąpień): </w:t>
        <w:br/>
        <w:t xml:space="preserve">Informacje dotyczące wykorzystywanego sprzętu elektronicznego, rozwiązań i specyfikacji technicznych w zakresie połączeń: </w:t>
        <w:br/>
        <w:t xml:space="preserve">Wymagania dotyczące rejestracji i identyfikacji wykonawców w aukcji elektronicznej: </w:t>
        <w:br/>
        <w:t xml:space="preserve">Informacje o liczbie etapów aukcji elektronicznej i czasie ich trwania: </w:t>
      </w:r>
    </w:p>
    <w:p>
      <w:pPr>
        <w:pStyle w:val="Normal"/>
        <w:rPr>
          <w:rFonts w:eastAsia="Times New Roman" w:cs="Times New Roman"/>
        </w:rPr>
      </w:pPr>
      <w:r>
        <w:rPr>
          <w:rFonts w:eastAsia="Times New Roman" w:cs="Times New Roman"/>
        </w:rPr>
        <w:br/>
        <w:t xml:space="preserve">Czas trwania: </w:t>
        <w:br/>
        <w:br/>
        <w:t xml:space="preserve">Czy wykonawcy, którzy nie złożyli nowych postąpień, zostaną zakwalifikowani do następnego etapu: </w:t>
        <w:br/>
        <w:t xml:space="preserve">Warunki zamknięcia aukcji elektronicznej: </w:t>
        <w:br/>
      </w:r>
    </w:p>
    <w:p>
      <w:pPr>
        <w:pStyle w:val="Normal"/>
        <w:rPr>
          <w:rFonts w:eastAsia="Times New Roman" w:cs="Times New Roman"/>
        </w:rPr>
      </w:pPr>
      <w:r>
        <w:rPr>
          <w:rFonts w:eastAsia="Times New Roman" w:cs="Times New Roman"/>
        </w:rPr>
        <w:br/>
      </w:r>
      <w:r>
        <w:rPr>
          <w:rFonts w:eastAsia="Times New Roman" w:cs="Times New Roman"/>
          <w:b/>
          <w:bCs/>
        </w:rPr>
        <w:t xml:space="preserve">IV.2) KRYTERIA OCENY OFERT </w:t>
      </w:r>
      <w:r>
        <w:rPr>
          <w:rFonts w:eastAsia="Times New Roman" w:cs="Times New Roman"/>
        </w:rPr>
        <w:br/>
      </w:r>
      <w:r>
        <w:rPr>
          <w:rFonts w:eastAsia="Times New Roman" w:cs="Times New Roman"/>
          <w:b/>
          <w:bCs/>
        </w:rPr>
        <w:t xml:space="preserve">IV.2.1) Kryteria oceny ofert: </w:t>
      </w:r>
      <w:r>
        <w:rPr>
          <w:rFonts w:eastAsia="Times New Roman" w:cs="Times New Roman"/>
        </w:rPr>
        <w:br/>
      </w:r>
      <w:r>
        <w:rPr>
          <w:rFonts w:eastAsia="Times New Roman" w:cs="Times New Roman"/>
          <w:b/>
          <w:bCs/>
        </w:rPr>
        <w:t>IV.2.2) Kryteria</w:t>
      </w:r>
      <w:r>
        <w:rPr>
          <w:rFonts w:eastAsia="Times New Roman" w:cs="Times New Roman"/>
        </w:rPr>
        <w:t xml:space="preserve"> </w:t>
      </w:r>
    </w:p>
    <w:tbl>
      <w:tblPr>
        <w:tblW w:w="5098"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14" w:type="dxa"/>
          <w:bottom w:w="15" w:type="dxa"/>
          <w:right w:w="15" w:type="dxa"/>
        </w:tblCellMar>
        <w:tblLook w:firstRow="1" w:noVBand="1" w:lastRow="0" w:firstColumn="1" w:lastColumn="0" w:noHBand="0" w:val="04a0"/>
      </w:tblPr>
      <w:tblGrid>
        <w:gridCol w:w="4081"/>
        <w:gridCol w:w="1016"/>
      </w:tblGrid>
      <w:tr>
        <w:trPr/>
        <w:tc>
          <w:tcPr>
            <w:tcW w:w="40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4" w:type="dxa"/>
            </w:tcMar>
            <w:vAlign w:val="center"/>
          </w:tcPr>
          <w:p>
            <w:pPr>
              <w:pStyle w:val="Normal"/>
              <w:rPr>
                <w:rFonts w:eastAsia="Times New Roman" w:cs="Times New Roman"/>
              </w:rPr>
            </w:pPr>
            <w:r>
              <w:rPr>
                <w:rFonts w:eastAsia="Times New Roman" w:cs="Times New Roman"/>
              </w:rPr>
              <w:t>Kryteria</w:t>
            </w:r>
          </w:p>
        </w:tc>
        <w:tc>
          <w:tcPr>
            <w:tcW w:w="10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4" w:type="dxa"/>
            </w:tcMar>
            <w:vAlign w:val="center"/>
          </w:tcPr>
          <w:p>
            <w:pPr>
              <w:pStyle w:val="Normal"/>
              <w:rPr>
                <w:rFonts w:eastAsia="Times New Roman" w:cs="Times New Roman"/>
              </w:rPr>
            </w:pPr>
            <w:r>
              <w:rPr>
                <w:rFonts w:eastAsia="Times New Roman" w:cs="Times New Roman"/>
              </w:rPr>
              <w:t>Znaczenie</w:t>
            </w:r>
          </w:p>
        </w:tc>
      </w:tr>
      <w:tr>
        <w:trPr/>
        <w:tc>
          <w:tcPr>
            <w:tcW w:w="40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4" w:type="dxa"/>
            </w:tcMar>
            <w:vAlign w:val="center"/>
          </w:tcPr>
          <w:p>
            <w:pPr>
              <w:pStyle w:val="Normal"/>
              <w:rPr>
                <w:rFonts w:eastAsia="Times New Roman" w:cs="Times New Roman"/>
              </w:rPr>
            </w:pPr>
            <w:r>
              <w:rPr>
                <w:rFonts w:eastAsia="Times New Roman" w:cs="Times New Roman"/>
              </w:rPr>
              <w:t>Cena</w:t>
            </w:r>
          </w:p>
        </w:tc>
        <w:tc>
          <w:tcPr>
            <w:tcW w:w="10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4" w:type="dxa"/>
            </w:tcMar>
            <w:vAlign w:val="center"/>
          </w:tcPr>
          <w:p>
            <w:pPr>
              <w:pStyle w:val="Normal"/>
              <w:rPr>
                <w:rFonts w:eastAsia="Times New Roman" w:cs="Times New Roman"/>
              </w:rPr>
            </w:pPr>
            <w:r>
              <w:rPr>
                <w:rFonts w:eastAsia="Times New Roman" w:cs="Times New Roman"/>
              </w:rPr>
              <w:t>60,00</w:t>
            </w:r>
          </w:p>
        </w:tc>
      </w:tr>
      <w:tr>
        <w:trPr/>
        <w:tc>
          <w:tcPr>
            <w:tcW w:w="40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4" w:type="dxa"/>
            </w:tcMar>
            <w:vAlign w:val="center"/>
          </w:tcPr>
          <w:p>
            <w:pPr>
              <w:pStyle w:val="Normal"/>
              <w:rPr>
                <w:rFonts w:eastAsia="Times New Roman" w:cs="Times New Roman"/>
              </w:rPr>
            </w:pPr>
            <w:r>
              <w:rPr>
                <w:rFonts w:eastAsia="Times New Roman" w:cs="Times New Roman"/>
              </w:rPr>
              <w:t>okres gwarancji jakości i rękojmi za wady</w:t>
            </w:r>
          </w:p>
        </w:tc>
        <w:tc>
          <w:tcPr>
            <w:tcW w:w="10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4" w:type="dxa"/>
            </w:tcMar>
            <w:vAlign w:val="center"/>
          </w:tcPr>
          <w:p>
            <w:pPr>
              <w:pStyle w:val="Normal"/>
              <w:rPr>
                <w:rFonts w:eastAsia="Times New Roman" w:cs="Times New Roman"/>
              </w:rPr>
            </w:pPr>
            <w:r>
              <w:rPr>
                <w:rFonts w:eastAsia="Times New Roman" w:cs="Times New Roman"/>
              </w:rPr>
              <w:t>40,00</w:t>
            </w:r>
          </w:p>
        </w:tc>
      </w:tr>
    </w:tbl>
    <w:p>
      <w:pPr>
        <w:pStyle w:val="Normal"/>
        <w:rPr>
          <w:rFonts w:eastAsia="Times New Roman" w:cs="Times New Roman"/>
        </w:rPr>
      </w:pPr>
      <w:r>
        <w:rPr>
          <w:rFonts w:eastAsia="Times New Roman" w:cs="Times New Roman"/>
        </w:rPr>
        <w:br/>
      </w:r>
      <w:r>
        <w:rPr>
          <w:rFonts w:eastAsia="Times New Roman" w:cs="Times New Roman"/>
          <w:b/>
          <w:bCs/>
        </w:rPr>
        <w:t xml:space="preserve">IV.2.3) Zastosowanie procedury, o której mowa w art. 24aa ust. 1 ustawy Pzp </w:t>
      </w:r>
      <w:r>
        <w:rPr>
          <w:rFonts w:eastAsia="Times New Roman" w:cs="Times New Roman"/>
        </w:rPr>
        <w:t xml:space="preserve">(przetarg nieograniczony) </w:t>
        <w:br/>
        <w:t xml:space="preserve">Tak </w:t>
        <w:br/>
      </w:r>
      <w:r>
        <w:rPr>
          <w:rFonts w:eastAsia="Times New Roman" w:cs="Times New Roman"/>
          <w:b/>
          <w:bCs/>
        </w:rPr>
        <w:t xml:space="preserve">IV.3) Negocjacje z ogłoszeniem, dialog konkurencyjny, partnerstwo innowacyjne </w:t>
      </w:r>
      <w:r>
        <w:rPr>
          <w:rFonts w:eastAsia="Times New Roman" w:cs="Times New Roman"/>
        </w:rPr>
        <w:br/>
      </w:r>
      <w:r>
        <w:rPr>
          <w:rFonts w:eastAsia="Times New Roman" w:cs="Times New Roman"/>
          <w:b/>
          <w:bCs/>
        </w:rPr>
        <w:t>IV.3.1) Informacje na temat negocjacji z ogłoszeniem</w:t>
      </w:r>
      <w:r>
        <w:rPr>
          <w:rFonts w:eastAsia="Times New Roman" w:cs="Times New Roman"/>
        </w:rPr>
        <w:t xml:space="preserve"> </w:t>
        <w:br/>
        <w:t xml:space="preserve">Minimalne wymagania, które muszą spełniać wszystkie oferty: </w:t>
        <w:br/>
        <w:br/>
        <w:t xml:space="preserve">Przewidziane jest zastrzeżenie prawa do udzielenia zamówienia na podstawie ofert wstępnych bez przeprowadzenia negocjacji </w:t>
        <w:br/>
        <w:t xml:space="preserve">Przewidziany jest podział negocjacji na etapy w celu ograniczenia liczby ofert: </w:t>
        <w:br/>
        <w:t xml:space="preserve">Należy podać informacje na temat etapów negocjacji (w tym liczbę etapów): </w:t>
        <w:br/>
        <w:br/>
        <w:t xml:space="preserve">Informacje dodatkowe </w:t>
        <w:br/>
        <w:br/>
        <w:br/>
      </w:r>
      <w:r>
        <w:rPr>
          <w:rFonts w:eastAsia="Times New Roman" w:cs="Times New Roman"/>
          <w:b/>
          <w:bCs/>
        </w:rPr>
        <w:t>IV.3.2) Informacje na temat dialogu konkurencyjnego</w:t>
      </w:r>
      <w:r>
        <w:rPr>
          <w:rFonts w:eastAsia="Times New Roman" w:cs="Times New Roman"/>
        </w:rPr>
        <w:t xml:space="preserve"> </w:t>
        <w:br/>
        <w:t xml:space="preserve">Opis potrzeb i wymagań zamawiającego lub informacja o sposobie uzyskania tego opisu: </w:t>
        <w:br/>
        <w:br/>
        <w:t xml:space="preserve">Informacja o wysokości nagród dla wykonawców, którzy podczas dialogu konkurencyjnego przedstawili rozwiązania stanowiące podstawę do składania ofert, jeżeli zamawiający przewiduje nagrody: </w:t>
        <w:br/>
        <w:br/>
        <w:t xml:space="preserve">Wstępny harmonogram postępowania: </w:t>
        <w:br/>
        <w:br/>
        <w:t xml:space="preserve">Podział dialogu na etapy w celu ograniczenia liczby rozwiązań: </w:t>
        <w:br/>
        <w:t xml:space="preserve">Należy podać informacje na temat etapów dialogu: </w:t>
        <w:br/>
        <w:br/>
        <w:br/>
        <w:t xml:space="preserve">Informacje dodatkowe: </w:t>
        <w:br/>
        <w:br/>
      </w:r>
      <w:r>
        <w:rPr>
          <w:rFonts w:eastAsia="Times New Roman" w:cs="Times New Roman"/>
          <w:b/>
          <w:bCs/>
        </w:rPr>
        <w:t>IV.3.3) Informacje na temat partnerstwa innowacyjnego</w:t>
      </w:r>
      <w:r>
        <w:rPr>
          <w:rFonts w:eastAsia="Times New Roman" w:cs="Times New Roman"/>
        </w:rPr>
        <w:t xml:space="preserve"> </w:t>
        <w:br/>
        <w:t xml:space="preserve">Elementy opisu przedmiotu zamówienia definiujące minimalne wymagania, którym muszą odpowiadać wszystkie oferty: </w:t>
        <w:br/>
        <w:br/>
        <w:t xml:space="preserve">Podział negocjacji na etapy w celu ograniczeniu liczby ofert podlegających negocjacjom poprzez zastosowanie kryteriów oceny ofert wskazanych w specyfikacji istotnych warunków zamówienia: </w:t>
        <w:br/>
        <w:br/>
        <w:t xml:space="preserve">Informacje dodatkowe: </w:t>
        <w:br/>
        <w:br/>
      </w:r>
      <w:r>
        <w:rPr>
          <w:rFonts w:eastAsia="Times New Roman" w:cs="Times New Roman"/>
          <w:b/>
          <w:bCs/>
        </w:rPr>
        <w:t xml:space="preserve">IV.4) Licytacja elektroniczna </w:t>
      </w:r>
      <w:r>
        <w:rPr>
          <w:rFonts w:eastAsia="Times New Roman" w:cs="Times New Roman"/>
        </w:rPr>
        <w:br/>
        <w:t xml:space="preserve">Adres strony internetowej, na której będzie prowadzona licytacja elektroniczna: </w:t>
      </w:r>
    </w:p>
    <w:p>
      <w:pPr>
        <w:pStyle w:val="Normal"/>
        <w:rPr>
          <w:rFonts w:eastAsia="Times New Roman" w:cs="Times New Roman"/>
        </w:rPr>
      </w:pPr>
      <w:r>
        <w:rPr>
          <w:rFonts w:eastAsia="Times New Roman" w:cs="Times New Roman"/>
        </w:rPr>
        <w:t xml:space="preserve">Adres strony internetowej, na której jest dostępny opis przedmiotu zamówienia w licytacji elektronicznej: </w:t>
      </w:r>
    </w:p>
    <w:p>
      <w:pPr>
        <w:pStyle w:val="Normal"/>
        <w:rPr>
          <w:rFonts w:eastAsia="Times New Roman" w:cs="Times New Roman"/>
        </w:rPr>
      </w:pPr>
      <w:r>
        <w:rPr>
          <w:rFonts w:eastAsia="Times New Roman" w:cs="Times New Roman"/>
        </w:rPr>
        <w:t xml:space="preserve">Wymagania dotyczące rejestracji i identyfikacji wykonawców w licytacji elektronicznej, w tym wymagania techniczne urządzeń informatycznych: </w:t>
      </w:r>
    </w:p>
    <w:p>
      <w:pPr>
        <w:pStyle w:val="Normal"/>
        <w:rPr>
          <w:rFonts w:eastAsia="Times New Roman" w:cs="Times New Roman"/>
        </w:rPr>
      </w:pPr>
      <w:r>
        <w:rPr>
          <w:rFonts w:eastAsia="Times New Roman" w:cs="Times New Roman"/>
        </w:rPr>
        <w:t xml:space="preserve">Sposób postępowania w toku licytacji elektronicznej, w tym określenie minimalnych wysokości postąpień: </w:t>
      </w:r>
    </w:p>
    <w:p>
      <w:pPr>
        <w:pStyle w:val="Normal"/>
        <w:rPr>
          <w:rFonts w:eastAsia="Times New Roman" w:cs="Times New Roman"/>
        </w:rPr>
      </w:pPr>
      <w:r>
        <w:rPr>
          <w:rFonts w:eastAsia="Times New Roman" w:cs="Times New Roman"/>
        </w:rPr>
        <w:t xml:space="preserve">Informacje o liczbie etapów licytacji elektronicznej i czasie ich trwania: </w:t>
      </w:r>
    </w:p>
    <w:p>
      <w:pPr>
        <w:pStyle w:val="Normal"/>
        <w:rPr>
          <w:rFonts w:eastAsia="Times New Roman" w:cs="Times New Roman"/>
        </w:rPr>
      </w:pPr>
      <w:r>
        <w:rPr>
          <w:rFonts w:eastAsia="Times New Roman" w:cs="Times New Roman"/>
        </w:rPr>
        <w:t xml:space="preserve">Czas trwania: </w:t>
        <w:br/>
        <w:br/>
        <w:t xml:space="preserve">Wykonawcy, którzy nie złożyli nowych postąpień, zostaną zakwalifikowani do następnego etapu: </w:t>
      </w:r>
    </w:p>
    <w:p>
      <w:pPr>
        <w:pStyle w:val="Normal"/>
        <w:rPr>
          <w:rFonts w:eastAsia="Times New Roman" w:cs="Times New Roman"/>
        </w:rPr>
      </w:pPr>
      <w:r>
        <w:rPr>
          <w:rFonts w:eastAsia="Times New Roman" w:cs="Times New Roman"/>
        </w:rPr>
        <w:t xml:space="preserve">Termin składania wniosków o dopuszczenie do udziału w licytacji elektronicznej: </w:t>
        <w:br/>
        <w:t xml:space="preserve">Data: godzina: </w:t>
        <w:br/>
        <w:t xml:space="preserve">Termin otwarcia licytacji elektronicznej: </w:t>
      </w:r>
    </w:p>
    <w:p>
      <w:pPr>
        <w:pStyle w:val="Normal"/>
        <w:rPr>
          <w:rFonts w:eastAsia="Times New Roman" w:cs="Times New Roman"/>
        </w:rPr>
      </w:pPr>
      <w:r>
        <w:rPr>
          <w:rFonts w:eastAsia="Times New Roman" w:cs="Times New Roman"/>
        </w:rPr>
        <w:t xml:space="preserve">Termin i warunki zamknięcia licytacji elektronicznej: </w:t>
      </w:r>
    </w:p>
    <w:p>
      <w:pPr>
        <w:pStyle w:val="Normal"/>
        <w:rPr>
          <w:rFonts w:eastAsia="Times New Roman" w:cs="Times New Roman"/>
        </w:rPr>
      </w:pPr>
      <w:r>
        <w:rPr>
          <w:rFonts w:eastAsia="Times New Roman" w:cs="Times New Roman"/>
        </w:rPr>
        <w:br/>
        <w:t xml:space="preserve">Istotne dla stron postanowienia, które zostaną wprowadzone do treści zawieranej umowy w sprawie zamówienia publicznego, albo ogólne warunki umowy, albo wzór umowy: </w:t>
      </w:r>
    </w:p>
    <w:p>
      <w:pPr>
        <w:pStyle w:val="Normal"/>
        <w:rPr>
          <w:rFonts w:eastAsia="Times New Roman" w:cs="Times New Roman"/>
        </w:rPr>
      </w:pPr>
      <w:r>
        <w:rPr>
          <w:rFonts w:eastAsia="Times New Roman" w:cs="Times New Roman"/>
        </w:rPr>
        <w:br/>
        <w:t xml:space="preserve">Wymagania dotyczące zabezpieczenia należytego wykonania umowy: </w:t>
      </w:r>
    </w:p>
    <w:p>
      <w:pPr>
        <w:pStyle w:val="Normal"/>
        <w:rPr>
          <w:rFonts w:eastAsia="Times New Roman" w:cs="Times New Roman"/>
        </w:rPr>
      </w:pPr>
      <w:r>
        <w:rPr>
          <w:rFonts w:eastAsia="Times New Roman" w:cs="Times New Roman"/>
        </w:rPr>
        <w:br/>
        <w:t xml:space="preserve">Informacje dodatkowe: </w:t>
      </w:r>
    </w:p>
    <w:p>
      <w:pPr>
        <w:pStyle w:val="Normal"/>
        <w:rPr>
          <w:rFonts w:eastAsia="Times New Roman" w:cs="Times New Roman"/>
        </w:rPr>
      </w:pPr>
      <w:r>
        <w:rPr>
          <w:rFonts w:eastAsia="Times New Roman" w:cs="Times New Roman"/>
          <w:b/>
          <w:bCs/>
        </w:rPr>
        <w:t>IV.5) ZMIANA UMOWY</w:t>
      </w:r>
      <w:r>
        <w:rPr>
          <w:rFonts w:eastAsia="Times New Roman" w:cs="Times New Roman"/>
        </w:rPr>
        <w:t xml:space="preserve"> </w:t>
        <w:br/>
      </w:r>
      <w:r>
        <w:rPr>
          <w:rFonts w:eastAsia="Times New Roman" w:cs="Times New Roman"/>
          <w:b/>
          <w:bCs/>
        </w:rPr>
        <w:t>Przewiduje się istotne zmiany postanowień zawartej umowy w stosunku do treści oferty, na podstawie której dokonano wyboru wykonawcy:</w:t>
      </w:r>
      <w:r>
        <w:rPr>
          <w:rFonts w:eastAsia="Times New Roman" w:cs="Times New Roman"/>
        </w:rPr>
        <w:t xml:space="preserve"> Tak </w:t>
        <w:br/>
        <w:t xml:space="preserve">Należy wskazać zakres, charakter zmian oraz warunki wprowadzenia zmian: </w:t>
        <w:br/>
        <w:t xml:space="preserve">Zamawiający przewiduje zmiany do umowy zawartej w sprawie przedmiotowego zamówienia publicznego w stosunku do treści oferty, na podstawie której dokonano wyboru Wykonawcy w zakresie określonym szczegółowo we wzorze umowy w sprawie zamówienia publicznego (zał. Nr 7 do SIWZ) </w:t>
        <w:br/>
      </w:r>
      <w:r>
        <w:rPr>
          <w:rFonts w:eastAsia="Times New Roman" w:cs="Times New Roman"/>
          <w:b/>
          <w:bCs/>
        </w:rPr>
        <w:t xml:space="preserve">IV.6) INFORMACJE ADMINISTRACYJNE </w:t>
      </w:r>
      <w:r>
        <w:rPr>
          <w:rFonts w:eastAsia="Times New Roman" w:cs="Times New Roman"/>
        </w:rPr>
        <w:br/>
        <w:br/>
      </w:r>
      <w:r>
        <w:rPr>
          <w:rFonts w:eastAsia="Times New Roman" w:cs="Times New Roman"/>
          <w:b/>
          <w:bCs/>
        </w:rPr>
        <w:t xml:space="preserve">IV.6.1) Sposób udostępniania informacji o charakterze poufnym </w:t>
      </w:r>
      <w:r>
        <w:rPr>
          <w:rFonts w:eastAsia="Times New Roman" w:cs="Times New Roman"/>
          <w:i/>
          <w:iCs/>
        </w:rPr>
        <w:t xml:space="preserve">(jeżeli dotyczy): </w:t>
      </w:r>
      <w:r>
        <w:rPr>
          <w:rFonts w:eastAsia="Times New Roman" w:cs="Times New Roman"/>
        </w:rPr>
        <w:br/>
        <w:br/>
      </w:r>
      <w:r>
        <w:rPr>
          <w:rFonts w:eastAsia="Times New Roman" w:cs="Times New Roman"/>
          <w:b/>
          <w:bCs/>
        </w:rPr>
        <w:t>Środki służące ochronie informacji o charakterze poufnym</w:t>
      </w:r>
      <w:r>
        <w:rPr>
          <w:rFonts w:eastAsia="Times New Roman" w:cs="Times New Roman"/>
        </w:rPr>
        <w:t xml:space="preserve"> </w:t>
        <w:br/>
        <w:br/>
      </w:r>
      <w:r>
        <w:rPr>
          <w:rFonts w:eastAsia="Times New Roman" w:cs="Times New Roman"/>
          <w:b/>
          <w:bCs/>
        </w:rPr>
        <w:t xml:space="preserve">IV.6.2) Termin składania ofert lub wniosków o dopuszczenie do udziału w postępowaniu: </w:t>
      </w:r>
      <w:r>
        <w:rPr>
          <w:rFonts w:eastAsia="Times New Roman" w:cs="Times New Roman"/>
        </w:rPr>
        <w:br/>
        <w:t xml:space="preserve">Data: 2018-06-08, godzina: 10:00, </w:t>
        <w:br/>
        <w:t xml:space="preserve">Skrócenie terminu składania wniosków, ze względu na pilną potrzebę udzielenia zamówienia (przetarg nieograniczony, przetarg ograniczony, negocjacje z ogłoszeniem): </w:t>
        <w:br/>
        <w:t xml:space="preserve">Nie </w:t>
        <w:br/>
        <w:t xml:space="preserve">Wskazać powody: </w:t>
        <w:br/>
        <w:br/>
        <w:t xml:space="preserve">Język lub języki, w jakich mogą być sporządzane oferty lub wnioski o dopuszczenie do udziału w postępowaniu </w:t>
        <w:br/>
        <w:t xml:space="preserve">&gt; Polski </w:t>
        <w:br/>
      </w:r>
      <w:r>
        <w:rPr>
          <w:rFonts w:eastAsia="Times New Roman" w:cs="Times New Roman"/>
          <w:b/>
          <w:bCs/>
        </w:rPr>
        <w:t xml:space="preserve">IV.6.3) Termin związania ofertą: </w:t>
      </w:r>
      <w:r>
        <w:rPr>
          <w:rFonts w:eastAsia="Times New Roman" w:cs="Times New Roman"/>
        </w:rPr>
        <w:t xml:space="preserve">do: okres w dniach: 30 (od ostatecznego terminu składania ofert) </w:t>
        <w:br/>
      </w:r>
      <w:r>
        <w:rPr>
          <w:rFonts w:eastAsia="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rFonts w:eastAsia="Times New Roman" w:cs="Times New Roman"/>
        </w:rPr>
        <w:t xml:space="preserve"> Nie </w:t>
        <w:br/>
      </w:r>
      <w:r>
        <w:rPr>
          <w:rFonts w:eastAsia="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Pr>
          <w:rFonts w:eastAsia="Times New Roman" w:cs="Times New Roman"/>
        </w:rPr>
        <w:t xml:space="preserve"> Nie </w:t>
        <w:br/>
      </w:r>
      <w:r>
        <w:rPr>
          <w:rFonts w:eastAsia="Times New Roman" w:cs="Times New Roman"/>
          <w:b/>
          <w:bCs/>
        </w:rPr>
        <w:t>IV.6.6) Informacje dodatkowe:</w:t>
      </w:r>
      <w:r>
        <w:rPr>
          <w:rFonts w:eastAsia="Times New Roman" w:cs="Times New Roman"/>
        </w:rPr>
        <w:t xml:space="preserve"> </w:t>
        <w:br/>
        <w:t xml:space="preserve">1. W przedmiotowym postępowaniu komunikacja pomiędzy Zamawiającym, a Wykonawcą odbywa się za pośrednictwem operatora pocztowego w rozumieniu ustawy z dnia 23 listopada 2012 r. – Prawo pocztowe (Dz. U. z 2016 r. poz. 1113), osobiście, za pośrednictwem posłańca, faksu lub przy użyciu środków komunikacji elektronicznej w rozumieniu ustawy z dnia 18 lipca 2002 r. o świadczeniu usług drogą elektroniczną (Dz. U. z 2016 r. poz. 1030), z uwzględnieniem wymogów dotyczących formy. Zamawiający nie dopuszcza porozumiewania się z Wykonawcami za pośrednictwem telefonu. 2. 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 2. Odwołanie przysługuje wyłącznie wobec czynności: 1) określenia warunków udziału w postępowaniu; 2) wykluczenia odwołującego Wykonawcy z postępowania o udzielenie zamówienia; 3) odrzucenie oferty odwołującego Wykonawcy; 4) opisu przedmiotu zamówienia; 5) wyboru najkorzystniejszej oferty. 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4. Odwołanie wnosi się do Prezesa Krajowej Izby Odwoławczej w formie pisemnej w postaci papierowej albo w postaci elektronicznej, opatrzonej odpowiednio własnoręcznym podpisem albo kwalifikowanym podpisem elektronicznym, w terminie określonym w art. 182 ustawy wraz z dowodem uiszczenia wpisu. 5. Odwołujący przesyła kopię odwołania Zamawiającemu przed upływem terminu do wniesienia odwołania w taki sposób, aby mógł on zapoznać się z jego treścią przed upływem tego terminu. 6. Jeżeli koniec terminu do wykonania czynności przypada na sobotę lub dzień ustawowo wolny od pracy, termin upływa dnia następnego po dniu lub dniach wolnych od pracy. 7. Na orzeczenie Krajowej Izby Odwoławczej stronom oraz uczestnikom postępowania odwoławczego przysługuje skarga do sądu. 8.Zamawiający żąda wskazania przez Wykonawcę w ofercie części zamówienia, której wykonanie zamierza powierzyć podwykonawcy /podwykonawcom. 9. Wykonawca, którego oferta zostanie uznana za najkorzystniejszą, przed podpisaniem umowy w sprawie zamówienia publicznego, zobowiązany będzie do wniesienia zabezpieczenia należytego wykonania umowy na kwotę stanowiącą 10 % ceny całkowitej podanej w ofercie. 10. Wykonawca przez cały okres realizacji umowy, zobowiązany jest do posiadania polisy lub innego dokumentu ubezpieczenia od odpowiedzialności cywilnej w zakresie prowadzonej działalności gospodarczej, na kwotę nie mniejszą niż cena oferty z VAT. Wykonawca zapewni ciągłość umowy ubezpieczenia od odpowiedzialności cywilnej w zakresie prowadzonej działalności gospodarczej na pełen zakres przedmiotu umowy przez cały czas trwania robót na w/w kwotę. 11. Zamawiający informuje, iż wszystkie rozliczenia pomiędzy Zamawiającym, a Wykonawcą dokonywane będą w PLN. 12. Termin otwarcia ofert 08/06/2018.r. godz. .10:10. </w:t>
      </w:r>
    </w:p>
    <w:p>
      <w:pPr>
        <w:pStyle w:val="Normal"/>
        <w:jc w:val="center"/>
        <w:rPr>
          <w:rFonts w:eastAsia="Times New Roman" w:cs="Times New Roman"/>
          <w:u w:val="single"/>
        </w:rPr>
      </w:pPr>
      <w:r>
        <w:rPr/>
      </w:r>
    </w:p>
    <w:p>
      <w:pPr>
        <w:pStyle w:val="Normal"/>
        <w:rPr>
          <w:rFonts w:eastAsia="Times New Roman" w:cs="Times New Roman"/>
        </w:rPr>
      </w:pPr>
      <w:r>
        <w:rPr>
          <w:rFonts w:eastAsia="Times New Roman" w:cs="Times New Roman"/>
        </w:rPr>
      </w:r>
    </w:p>
    <w:p>
      <w:pPr>
        <w:pStyle w:val="Normal"/>
        <w:rPr>
          <w:rFonts w:eastAsia="Times New Roman" w:cs="Times New Roman"/>
        </w:rPr>
      </w:pPr>
      <w:r>
        <w:rPr>
          <w:rFonts w:eastAsia="Times New Roman" w:cs="Times New Roman"/>
        </w:rPr>
      </w:r>
    </w:p>
    <w:p>
      <w:pPr>
        <w:pStyle w:val="Normal"/>
        <w:spacing w:before="0" w:after="240"/>
        <w:rPr>
          <w:rFonts w:eastAsia="Times New Roman" w:cs="Times New Roman"/>
        </w:rPr>
      </w:pPr>
      <w:r>
        <w:rPr>
          <w:rFonts w:eastAsia="Times New Roman" w:cs="Times New Roman"/>
        </w:rPr>
      </w:r>
    </w:p>
    <w:p>
      <w:pPr>
        <w:pStyle w:val="Normal"/>
        <w:spacing w:before="0" w:after="240"/>
        <w:rPr>
          <w:rFonts w:eastAsia="Times New Roman" w:cs="Times New Roman"/>
        </w:rPr>
      </w:pPr>
      <w:r>
        <w:rPr>
          <w:rFonts w:eastAsia="Times New Roman" w:cs="Times New Roman"/>
        </w:rPr>
      </w:r>
    </w:p>
    <w:tbl>
      <w:tblPr>
        <w:tblW w:w="96" w:type="dxa"/>
        <w:jc w:val="left"/>
        <w:tblInd w:w="0" w:type="dxa"/>
        <w:tblBorders/>
        <w:tblCellMar>
          <w:top w:w="15" w:type="dxa"/>
          <w:left w:w="15" w:type="dxa"/>
          <w:bottom w:w="15" w:type="dxa"/>
          <w:right w:w="15" w:type="dxa"/>
        </w:tblCellMar>
        <w:tblLook w:firstRow="1" w:noVBand="1" w:lastRow="0" w:firstColumn="1" w:lastColumn="0" w:noHBand="0" w:val="04a0"/>
      </w:tblPr>
      <w:tblGrid>
        <w:gridCol w:w="96"/>
      </w:tblGrid>
      <w:tr>
        <w:trPr/>
        <w:tc>
          <w:tcPr>
            <w:tcW w:w="96" w:type="dxa"/>
            <w:tcBorders/>
            <w:shd w:fill="auto" w:val="clear"/>
            <w:vAlign w:val="center"/>
          </w:tcPr>
          <w:p>
            <w:pPr>
              <w:pStyle w:val="Normal"/>
              <w:rPr>
                <w:rFonts w:eastAsia="Times New Roman" w:cs="Times New Roman"/>
              </w:rPr>
            </w:pPr>
            <w:r>
              <w:rPr>
                <w:rFonts w:eastAsia="Times New Roman" w:cs="Times New Roman"/>
              </w:rPr>
            </w:r>
          </w:p>
        </w:tc>
      </w:tr>
    </w:tbl>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4477"/>
    <w:pPr>
      <w:widowControl/>
      <w:bidi w:val="0"/>
      <w:spacing w:lineRule="auto" w:line="240" w:before="0" w:after="0"/>
      <w:jc w:val="left"/>
    </w:pPr>
    <w:rPr>
      <w:rFonts w:ascii="Times New Roman" w:hAnsi="Times New Roman" w:eastAsia="Calibri" w:cs="" w:cstheme="minorBidi" w:eastAsiaTheme="minorHAnsi"/>
      <w:color w:val="auto"/>
      <w:kern w:val="0"/>
      <w:sz w:val="24"/>
      <w:szCs w:val="24"/>
      <w:lang w:eastAsia="pl-PL" w:val="pl-PL" w:bidi="ar-SA"/>
    </w:rPr>
  </w:style>
  <w:style w:type="paragraph" w:styleId="Nagwek2">
    <w:name w:val="Heading 2"/>
    <w:basedOn w:val="Normal"/>
    <w:link w:val="Nagwek2Znak"/>
    <w:semiHidden/>
    <w:unhideWhenUsed/>
    <w:qFormat/>
    <w:rsid w:val="00714477"/>
    <w:pPr>
      <w:keepNext w:val="true"/>
      <w:outlineLvl w:val="1"/>
    </w:pPr>
    <w:rPr>
      <w:rFonts w:eastAsia="Times New Roman" w:cs="Times New Roman"/>
      <w:sz w:val="28"/>
      <w:u w:val="single"/>
    </w:rPr>
  </w:style>
  <w:style w:type="paragraph" w:styleId="Nagwek6">
    <w:name w:val="Heading 6"/>
    <w:basedOn w:val="Normal"/>
    <w:link w:val="Nagwek6Znak"/>
    <w:semiHidden/>
    <w:unhideWhenUsed/>
    <w:qFormat/>
    <w:rsid w:val="00714477"/>
    <w:pPr>
      <w:keepNext w:val="true"/>
      <w:jc w:val="center"/>
      <w:outlineLvl w:val="5"/>
    </w:pPr>
    <w:rPr>
      <w:rFonts w:eastAsia="Times New Roman" w:cs="Times New Roman"/>
      <w:b/>
      <w:bCs/>
    </w:rPr>
  </w:style>
  <w:style w:type="paragraph" w:styleId="Nagwek8">
    <w:name w:val="Heading 8"/>
    <w:basedOn w:val="Normal"/>
    <w:link w:val="Nagwek8Znak"/>
    <w:semiHidden/>
    <w:unhideWhenUsed/>
    <w:qFormat/>
    <w:rsid w:val="00714477"/>
    <w:pPr>
      <w:keepNext w:val="true"/>
      <w:tabs>
        <w:tab w:val="left" w:pos="5625" w:leader="none"/>
      </w:tabs>
      <w:outlineLvl w:val="7"/>
    </w:pPr>
    <w:rPr>
      <w:rFonts w:eastAsia="Times New Roman" w:cs="Times New Roman"/>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semiHidden/>
    <w:qFormat/>
    <w:rsid w:val="00714477"/>
    <w:rPr>
      <w:rFonts w:ascii="Times New Roman" w:hAnsi="Times New Roman" w:eastAsia="Times New Roman" w:cs="Times New Roman"/>
      <w:sz w:val="28"/>
      <w:szCs w:val="24"/>
      <w:u w:val="single"/>
      <w:lang w:eastAsia="pl-PL"/>
    </w:rPr>
  </w:style>
  <w:style w:type="character" w:styleId="Nagwek6Znak" w:customStyle="1">
    <w:name w:val="Nagłówek 6 Znak"/>
    <w:basedOn w:val="DefaultParagraphFont"/>
    <w:link w:val="Nagwek6"/>
    <w:semiHidden/>
    <w:qFormat/>
    <w:rsid w:val="00714477"/>
    <w:rPr>
      <w:rFonts w:ascii="Times New Roman" w:hAnsi="Times New Roman" w:eastAsia="Times New Roman" w:cs="Times New Roman"/>
      <w:b/>
      <w:bCs/>
      <w:sz w:val="24"/>
      <w:szCs w:val="24"/>
      <w:lang w:eastAsia="pl-PL"/>
    </w:rPr>
  </w:style>
  <w:style w:type="character" w:styleId="Nagwek8Znak" w:customStyle="1">
    <w:name w:val="Nagłówek 8 Znak"/>
    <w:basedOn w:val="DefaultParagraphFont"/>
    <w:link w:val="Nagwek8"/>
    <w:semiHidden/>
    <w:qFormat/>
    <w:rsid w:val="00714477"/>
    <w:rPr>
      <w:rFonts w:ascii="Times New Roman" w:hAnsi="Times New Roman" w:eastAsia="Times New Roman" w:cs="Times New Roman"/>
      <w:sz w:val="32"/>
      <w:szCs w:val="24"/>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Caption">
    <w:name w:val="caption"/>
    <w:basedOn w:val="Normal"/>
    <w:semiHidden/>
    <w:unhideWhenUsed/>
    <w:qFormat/>
    <w:rsid w:val="00714477"/>
    <w:pPr>
      <w:tabs>
        <w:tab w:val="left" w:pos="3480" w:leader="none"/>
      </w:tabs>
      <w:jc w:val="center"/>
    </w:pPr>
    <w:rPr>
      <w:rFonts w:eastAsia="Times New Roman" w:cs="Times New Roman"/>
      <w:sz w:val="2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LibreOffice/5.4.3.2$Windows_X86_64 LibreOffice_project/92a7159f7e4af62137622921e809f8546db437e5</Application>
  <Pages>14</Pages>
  <Words>4836</Words>
  <Characters>32236</Characters>
  <CharactersWithSpaces>37297</CharactersWithSpaces>
  <Paragraphs>95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2018-05-23T09:03:00Z</dcterms:created>
  <dc:creator>Bajt</dc:creator>
  <dc:description/>
  <dc:language>pl-PL</dc:language>
  <cp:lastModifiedBy/>
  <dcterms:modified xsi:type="dcterms:W3CDTF">2018-05-23T11:29:09Z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